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E2" w:rsidRPr="001350A0" w:rsidRDefault="009017E2" w:rsidP="001350A0">
      <w:pPr>
        <w:spacing w:line="276" w:lineRule="auto"/>
        <w:rPr>
          <w:rFonts w:ascii="Arial" w:hAnsi="Arial" w:cs="Arial"/>
          <w:sz w:val="20"/>
          <w:szCs w:val="20"/>
        </w:rPr>
      </w:pPr>
    </w:p>
    <w:p w:rsidR="00043E46" w:rsidRPr="00AC251E" w:rsidRDefault="00275289" w:rsidP="001350A0">
      <w:pPr>
        <w:spacing w:line="276" w:lineRule="auto"/>
        <w:jc w:val="center"/>
        <w:rPr>
          <w:rFonts w:ascii="Arial" w:hAnsi="Arial" w:cs="Arial"/>
          <w:b/>
          <w:color w:val="1F497D" w:themeColor="text2"/>
          <w:sz w:val="20"/>
          <w:szCs w:val="20"/>
        </w:rPr>
      </w:pPr>
      <w:r w:rsidRPr="00AC251E">
        <w:rPr>
          <w:rFonts w:ascii="Arial" w:hAnsi="Arial" w:cs="Arial"/>
          <w:b/>
          <w:color w:val="1F497D" w:themeColor="text2"/>
          <w:sz w:val="20"/>
          <w:szCs w:val="20"/>
        </w:rPr>
        <w:t>FIȘA DE VERIFICARE – PROGRAME DE LICEN</w:t>
      </w:r>
      <w:bookmarkStart w:id="0" w:name="_GoBack"/>
      <w:bookmarkEnd w:id="0"/>
      <w:r w:rsidRPr="00AC251E">
        <w:rPr>
          <w:rFonts w:ascii="Arial" w:hAnsi="Arial" w:cs="Arial"/>
          <w:b/>
          <w:color w:val="1F497D" w:themeColor="text2"/>
          <w:sz w:val="20"/>
          <w:szCs w:val="20"/>
        </w:rPr>
        <w:t>ŢĂ</w:t>
      </w:r>
    </w:p>
    <w:p w:rsidR="00043E46" w:rsidRPr="001350A0" w:rsidRDefault="00043E46" w:rsidP="001350A0">
      <w:pPr>
        <w:spacing w:line="276" w:lineRule="auto"/>
        <w:jc w:val="center"/>
        <w:rPr>
          <w:rFonts w:ascii="Arial" w:hAnsi="Arial" w:cs="Arial"/>
          <w:b/>
          <w:sz w:val="20"/>
          <w:szCs w:val="20"/>
        </w:rPr>
      </w:pPr>
    </w:p>
    <w:tbl>
      <w:tblPr>
        <w:tblW w:w="10766" w:type="dxa"/>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7488"/>
      </w:tblGrid>
      <w:tr w:rsidR="00043E46" w:rsidRPr="001350A0" w:rsidTr="00275289">
        <w:trPr>
          <w:jc w:val="center"/>
        </w:trPr>
        <w:tc>
          <w:tcPr>
            <w:tcW w:w="3278" w:type="dxa"/>
            <w:shd w:val="clear" w:color="auto" w:fill="auto"/>
            <w:vAlign w:val="center"/>
          </w:tcPr>
          <w:p w:rsidR="00043E46" w:rsidRPr="001350A0" w:rsidRDefault="00043E46" w:rsidP="001350A0">
            <w:pPr>
              <w:spacing w:line="276" w:lineRule="auto"/>
              <w:jc w:val="left"/>
              <w:rPr>
                <w:rFonts w:ascii="Arial" w:eastAsia="Calibri" w:hAnsi="Arial" w:cs="Arial"/>
                <w:b/>
                <w:sz w:val="20"/>
                <w:szCs w:val="20"/>
              </w:rPr>
            </w:pPr>
            <w:r w:rsidRPr="001350A0">
              <w:rPr>
                <w:rFonts w:ascii="Arial" w:eastAsia="Calibri" w:hAnsi="Arial" w:cs="Arial"/>
                <w:b/>
                <w:sz w:val="20"/>
                <w:szCs w:val="20"/>
              </w:rPr>
              <w:t xml:space="preserve">Facultatea </w:t>
            </w:r>
          </w:p>
        </w:tc>
        <w:tc>
          <w:tcPr>
            <w:tcW w:w="7488" w:type="dxa"/>
          </w:tcPr>
          <w:p w:rsidR="00043E46" w:rsidRPr="001350A0" w:rsidRDefault="00043E46" w:rsidP="001350A0">
            <w:pPr>
              <w:tabs>
                <w:tab w:val="left" w:pos="825"/>
                <w:tab w:val="center" w:pos="2286"/>
              </w:tabs>
              <w:spacing w:line="276" w:lineRule="auto"/>
              <w:jc w:val="center"/>
              <w:rPr>
                <w:rFonts w:ascii="Arial" w:eastAsia="Calibri" w:hAnsi="Arial" w:cs="Arial"/>
                <w:b/>
                <w:sz w:val="20"/>
                <w:szCs w:val="20"/>
              </w:rPr>
            </w:pPr>
          </w:p>
        </w:tc>
      </w:tr>
      <w:tr w:rsidR="00043E46" w:rsidRPr="001350A0" w:rsidTr="00275289">
        <w:trPr>
          <w:jc w:val="center"/>
        </w:trPr>
        <w:tc>
          <w:tcPr>
            <w:tcW w:w="3278" w:type="dxa"/>
            <w:shd w:val="clear" w:color="auto" w:fill="auto"/>
          </w:tcPr>
          <w:p w:rsidR="00043E46" w:rsidRPr="001350A0" w:rsidRDefault="00043E46" w:rsidP="001350A0">
            <w:pPr>
              <w:spacing w:line="276" w:lineRule="auto"/>
              <w:jc w:val="left"/>
              <w:rPr>
                <w:rFonts w:ascii="Arial" w:eastAsia="Calibri" w:hAnsi="Arial" w:cs="Arial"/>
                <w:b/>
                <w:sz w:val="20"/>
                <w:szCs w:val="20"/>
              </w:rPr>
            </w:pPr>
            <w:r w:rsidRPr="001350A0">
              <w:rPr>
                <w:rFonts w:ascii="Arial" w:eastAsia="Calibri" w:hAnsi="Arial" w:cs="Arial"/>
                <w:b/>
                <w:sz w:val="20"/>
                <w:szCs w:val="20"/>
              </w:rPr>
              <w:t>Programul de studii</w:t>
            </w:r>
          </w:p>
        </w:tc>
        <w:tc>
          <w:tcPr>
            <w:tcW w:w="7488" w:type="dxa"/>
          </w:tcPr>
          <w:p w:rsidR="00043E46" w:rsidRPr="001350A0" w:rsidRDefault="00043E46" w:rsidP="001350A0">
            <w:pPr>
              <w:tabs>
                <w:tab w:val="left" w:pos="825"/>
                <w:tab w:val="center" w:pos="2286"/>
              </w:tabs>
              <w:spacing w:line="276" w:lineRule="auto"/>
              <w:jc w:val="center"/>
              <w:rPr>
                <w:rFonts w:ascii="Arial" w:eastAsia="Calibri" w:hAnsi="Arial" w:cs="Arial"/>
                <w:b/>
                <w:sz w:val="20"/>
                <w:szCs w:val="20"/>
              </w:rPr>
            </w:pPr>
          </w:p>
        </w:tc>
      </w:tr>
      <w:tr w:rsidR="00043E46" w:rsidRPr="001350A0" w:rsidTr="00275289">
        <w:trPr>
          <w:jc w:val="center"/>
        </w:trPr>
        <w:tc>
          <w:tcPr>
            <w:tcW w:w="3278" w:type="dxa"/>
            <w:shd w:val="clear" w:color="auto" w:fill="auto"/>
            <w:vAlign w:val="center"/>
          </w:tcPr>
          <w:p w:rsidR="00043E46" w:rsidRPr="001350A0" w:rsidRDefault="00043E46" w:rsidP="001350A0">
            <w:pPr>
              <w:spacing w:line="276" w:lineRule="auto"/>
              <w:jc w:val="left"/>
              <w:rPr>
                <w:rFonts w:ascii="Arial" w:eastAsia="Calibri" w:hAnsi="Arial" w:cs="Arial"/>
                <w:b/>
                <w:sz w:val="20"/>
                <w:szCs w:val="20"/>
              </w:rPr>
            </w:pPr>
            <w:r w:rsidRPr="001350A0">
              <w:rPr>
                <w:rFonts w:ascii="Arial" w:eastAsia="Calibri" w:hAnsi="Arial" w:cs="Arial"/>
                <w:b/>
                <w:sz w:val="20"/>
                <w:szCs w:val="20"/>
              </w:rPr>
              <w:t>Domeniul de licență</w:t>
            </w:r>
          </w:p>
        </w:tc>
        <w:tc>
          <w:tcPr>
            <w:tcW w:w="7488" w:type="dxa"/>
          </w:tcPr>
          <w:p w:rsidR="00043E46" w:rsidRPr="001350A0" w:rsidRDefault="00043E46" w:rsidP="001350A0">
            <w:pPr>
              <w:spacing w:line="276" w:lineRule="auto"/>
              <w:jc w:val="center"/>
              <w:rPr>
                <w:rFonts w:ascii="Arial" w:eastAsia="Calibri" w:hAnsi="Arial" w:cs="Arial"/>
                <w:b/>
                <w:sz w:val="20"/>
                <w:szCs w:val="20"/>
              </w:rPr>
            </w:pPr>
          </w:p>
        </w:tc>
      </w:tr>
      <w:tr w:rsidR="00043E46" w:rsidRPr="001350A0" w:rsidTr="00275289">
        <w:trPr>
          <w:jc w:val="center"/>
        </w:trPr>
        <w:tc>
          <w:tcPr>
            <w:tcW w:w="3278" w:type="dxa"/>
            <w:shd w:val="clear" w:color="auto" w:fill="auto"/>
            <w:vAlign w:val="center"/>
          </w:tcPr>
          <w:p w:rsidR="00043E46" w:rsidRPr="001350A0" w:rsidRDefault="00043E46" w:rsidP="001350A0">
            <w:pPr>
              <w:spacing w:line="276" w:lineRule="auto"/>
              <w:jc w:val="left"/>
              <w:rPr>
                <w:rFonts w:ascii="Arial" w:eastAsia="Calibri" w:hAnsi="Arial" w:cs="Arial"/>
                <w:b/>
                <w:sz w:val="20"/>
                <w:szCs w:val="20"/>
              </w:rPr>
            </w:pPr>
            <w:r w:rsidRPr="001350A0">
              <w:rPr>
                <w:rFonts w:ascii="Arial" w:eastAsia="Calibri" w:hAnsi="Arial" w:cs="Arial"/>
                <w:b/>
                <w:sz w:val="20"/>
                <w:szCs w:val="20"/>
              </w:rPr>
              <w:t>Forma de evaluare (AP</w:t>
            </w:r>
            <w:r w:rsidR="00275289">
              <w:rPr>
                <w:rFonts w:ascii="Arial" w:eastAsia="Calibri" w:hAnsi="Arial" w:cs="Arial"/>
                <w:b/>
                <w:sz w:val="20"/>
                <w:szCs w:val="20"/>
              </w:rPr>
              <w:t xml:space="preserve"> </w:t>
            </w:r>
            <w:r w:rsidRPr="001350A0">
              <w:rPr>
                <w:rFonts w:ascii="Arial" w:eastAsia="Calibri" w:hAnsi="Arial" w:cs="Arial"/>
                <w:b/>
                <w:sz w:val="20"/>
                <w:szCs w:val="20"/>
              </w:rPr>
              <w:t>/</w:t>
            </w:r>
            <w:r w:rsidR="00275289">
              <w:rPr>
                <w:rFonts w:ascii="Arial" w:eastAsia="Calibri" w:hAnsi="Arial" w:cs="Arial"/>
                <w:b/>
                <w:sz w:val="20"/>
                <w:szCs w:val="20"/>
              </w:rPr>
              <w:t xml:space="preserve"> </w:t>
            </w:r>
            <w:r w:rsidRPr="001350A0">
              <w:rPr>
                <w:rFonts w:ascii="Arial" w:eastAsia="Calibri" w:hAnsi="Arial" w:cs="Arial"/>
                <w:b/>
                <w:sz w:val="20"/>
                <w:szCs w:val="20"/>
              </w:rPr>
              <w:t>A</w:t>
            </w:r>
            <w:r w:rsidR="00275289">
              <w:rPr>
                <w:rFonts w:ascii="Arial" w:eastAsia="Calibri" w:hAnsi="Arial" w:cs="Arial"/>
                <w:b/>
                <w:sz w:val="20"/>
                <w:szCs w:val="20"/>
              </w:rPr>
              <w:t xml:space="preserve"> </w:t>
            </w:r>
            <w:r w:rsidRPr="001350A0">
              <w:rPr>
                <w:rFonts w:ascii="Arial" w:eastAsia="Calibri" w:hAnsi="Arial" w:cs="Arial"/>
                <w:b/>
                <w:sz w:val="20"/>
                <w:szCs w:val="20"/>
              </w:rPr>
              <w:t>/</w:t>
            </w:r>
            <w:r w:rsidR="00275289">
              <w:rPr>
                <w:rFonts w:ascii="Arial" w:eastAsia="Calibri" w:hAnsi="Arial" w:cs="Arial"/>
                <w:b/>
                <w:sz w:val="20"/>
                <w:szCs w:val="20"/>
              </w:rPr>
              <w:t xml:space="preserve"> </w:t>
            </w:r>
            <w:r w:rsidRPr="001350A0">
              <w:rPr>
                <w:rFonts w:ascii="Arial" w:eastAsia="Calibri" w:hAnsi="Arial" w:cs="Arial"/>
                <w:b/>
                <w:sz w:val="20"/>
                <w:szCs w:val="20"/>
              </w:rPr>
              <w:t>EP)</w:t>
            </w:r>
          </w:p>
        </w:tc>
        <w:tc>
          <w:tcPr>
            <w:tcW w:w="7488" w:type="dxa"/>
          </w:tcPr>
          <w:p w:rsidR="00043E46" w:rsidRPr="001350A0" w:rsidRDefault="00043E46" w:rsidP="001350A0">
            <w:pPr>
              <w:spacing w:line="276" w:lineRule="auto"/>
              <w:jc w:val="center"/>
              <w:rPr>
                <w:rFonts w:ascii="Arial" w:eastAsia="Calibri" w:hAnsi="Arial" w:cs="Arial"/>
                <w:b/>
                <w:sz w:val="20"/>
                <w:szCs w:val="20"/>
              </w:rPr>
            </w:pPr>
          </w:p>
        </w:tc>
      </w:tr>
    </w:tbl>
    <w:p w:rsidR="00043E46" w:rsidRPr="001350A0" w:rsidRDefault="00043E46" w:rsidP="001350A0">
      <w:pPr>
        <w:spacing w:line="276" w:lineRule="auto"/>
        <w:rPr>
          <w:rFonts w:ascii="Arial" w:hAnsi="Arial" w:cs="Arial"/>
          <w:sz w:val="20"/>
          <w:szCs w:val="20"/>
        </w:rPr>
      </w:pPr>
    </w:p>
    <w:p w:rsidR="00043E46" w:rsidRPr="00275289" w:rsidRDefault="00043E46" w:rsidP="00275289">
      <w:pPr>
        <w:spacing w:line="276" w:lineRule="auto"/>
        <w:jc w:val="center"/>
        <w:rPr>
          <w:rFonts w:ascii="Arial" w:hAnsi="Arial" w:cs="Arial"/>
          <w:sz w:val="20"/>
          <w:szCs w:val="20"/>
        </w:rPr>
      </w:pPr>
      <w:r w:rsidRPr="00275289">
        <w:rPr>
          <w:rFonts w:ascii="Arial" w:hAnsi="Arial" w:cs="Arial"/>
          <w:sz w:val="20"/>
          <w:szCs w:val="20"/>
        </w:rPr>
        <w:t>Componența comisiei de verificare:</w:t>
      </w:r>
    </w:p>
    <w:tbl>
      <w:tblPr>
        <w:tblW w:w="0" w:type="auto"/>
        <w:jc w:val="center"/>
        <w:tblInd w:w="-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3"/>
        <w:gridCol w:w="4252"/>
        <w:gridCol w:w="1355"/>
        <w:gridCol w:w="2829"/>
      </w:tblGrid>
      <w:tr w:rsidR="00043E46" w:rsidRPr="001350A0" w:rsidTr="00275289">
        <w:trPr>
          <w:trHeight w:val="300"/>
          <w:jc w:val="center"/>
        </w:trPr>
        <w:tc>
          <w:tcPr>
            <w:tcW w:w="673" w:type="dxa"/>
          </w:tcPr>
          <w:p w:rsidR="00043E46" w:rsidRPr="00AC251E" w:rsidRDefault="00275289" w:rsidP="001350A0">
            <w:pPr>
              <w:spacing w:line="276" w:lineRule="auto"/>
              <w:jc w:val="left"/>
              <w:rPr>
                <w:rFonts w:ascii="Arial" w:hAnsi="Arial" w:cs="Arial"/>
                <w:sz w:val="20"/>
                <w:szCs w:val="20"/>
              </w:rPr>
            </w:pPr>
            <w:r w:rsidRPr="00AC251E">
              <w:rPr>
                <w:rFonts w:ascii="Arial" w:hAnsi="Arial" w:cs="Arial"/>
                <w:sz w:val="20"/>
                <w:szCs w:val="20"/>
              </w:rPr>
              <w:t>Nr.</w:t>
            </w:r>
          </w:p>
        </w:tc>
        <w:tc>
          <w:tcPr>
            <w:tcW w:w="4252" w:type="dxa"/>
          </w:tcPr>
          <w:p w:rsidR="00043E46" w:rsidRPr="00AC251E" w:rsidRDefault="00275289" w:rsidP="001350A0">
            <w:pPr>
              <w:spacing w:line="276" w:lineRule="auto"/>
              <w:jc w:val="left"/>
              <w:rPr>
                <w:rFonts w:ascii="Arial" w:hAnsi="Arial" w:cs="Arial"/>
                <w:b/>
                <w:bCs/>
                <w:sz w:val="20"/>
                <w:szCs w:val="20"/>
              </w:rPr>
            </w:pPr>
            <w:r w:rsidRPr="00AC251E">
              <w:rPr>
                <w:rFonts w:ascii="Arial" w:hAnsi="Arial" w:cs="Arial"/>
                <w:sz w:val="20"/>
                <w:szCs w:val="20"/>
              </w:rPr>
              <w:t>Grad didactic, Prenume, Nume</w:t>
            </w:r>
          </w:p>
        </w:tc>
        <w:tc>
          <w:tcPr>
            <w:tcW w:w="1355" w:type="dxa"/>
          </w:tcPr>
          <w:p w:rsidR="00043E46" w:rsidRPr="00AC251E" w:rsidRDefault="00043E46" w:rsidP="001350A0">
            <w:pPr>
              <w:spacing w:line="276" w:lineRule="auto"/>
              <w:jc w:val="left"/>
              <w:rPr>
                <w:rFonts w:ascii="Arial" w:hAnsi="Arial" w:cs="Arial"/>
                <w:sz w:val="20"/>
                <w:szCs w:val="20"/>
              </w:rPr>
            </w:pPr>
            <w:r w:rsidRPr="00AC251E">
              <w:rPr>
                <w:rFonts w:ascii="Arial" w:hAnsi="Arial" w:cs="Arial"/>
                <w:sz w:val="20"/>
                <w:szCs w:val="20"/>
              </w:rPr>
              <w:t>Calitatea</w:t>
            </w:r>
          </w:p>
        </w:tc>
        <w:tc>
          <w:tcPr>
            <w:tcW w:w="2829" w:type="dxa"/>
          </w:tcPr>
          <w:p w:rsidR="00043E46" w:rsidRPr="00AC251E" w:rsidRDefault="00043E46" w:rsidP="001350A0">
            <w:pPr>
              <w:spacing w:line="276" w:lineRule="auto"/>
              <w:jc w:val="left"/>
              <w:rPr>
                <w:rFonts w:ascii="Arial" w:hAnsi="Arial" w:cs="Arial"/>
                <w:sz w:val="20"/>
                <w:szCs w:val="20"/>
              </w:rPr>
            </w:pPr>
            <w:r w:rsidRPr="00AC251E">
              <w:rPr>
                <w:rFonts w:ascii="Arial" w:hAnsi="Arial" w:cs="Arial"/>
                <w:sz w:val="20"/>
                <w:szCs w:val="20"/>
              </w:rPr>
              <w:t>Semnătura</w:t>
            </w:r>
          </w:p>
        </w:tc>
      </w:tr>
      <w:tr w:rsidR="00043E46" w:rsidRPr="001350A0" w:rsidTr="00275289">
        <w:trPr>
          <w:trHeight w:val="300"/>
          <w:jc w:val="center"/>
        </w:trPr>
        <w:tc>
          <w:tcPr>
            <w:tcW w:w="673" w:type="dxa"/>
            <w:vAlign w:val="center"/>
          </w:tcPr>
          <w:p w:rsidR="00043E46" w:rsidRPr="00AC251E" w:rsidRDefault="00043E46" w:rsidP="00275289">
            <w:pPr>
              <w:spacing w:line="276" w:lineRule="auto"/>
              <w:jc w:val="left"/>
              <w:rPr>
                <w:rFonts w:ascii="Arial" w:hAnsi="Arial" w:cs="Arial"/>
                <w:sz w:val="20"/>
                <w:szCs w:val="20"/>
              </w:rPr>
            </w:pPr>
            <w:r w:rsidRPr="00AC251E">
              <w:rPr>
                <w:rFonts w:ascii="Arial" w:hAnsi="Arial" w:cs="Arial"/>
                <w:sz w:val="20"/>
                <w:szCs w:val="20"/>
              </w:rPr>
              <w:t>1.</w:t>
            </w:r>
          </w:p>
        </w:tc>
        <w:tc>
          <w:tcPr>
            <w:tcW w:w="4252" w:type="dxa"/>
            <w:vAlign w:val="center"/>
          </w:tcPr>
          <w:p w:rsidR="00043E46" w:rsidRPr="00AC251E" w:rsidRDefault="00043E46" w:rsidP="001350A0">
            <w:pPr>
              <w:spacing w:line="276" w:lineRule="auto"/>
              <w:jc w:val="left"/>
              <w:rPr>
                <w:rFonts w:ascii="Arial" w:hAnsi="Arial" w:cs="Arial"/>
                <w:sz w:val="20"/>
                <w:szCs w:val="20"/>
              </w:rPr>
            </w:pPr>
          </w:p>
        </w:tc>
        <w:tc>
          <w:tcPr>
            <w:tcW w:w="1355" w:type="dxa"/>
            <w:vAlign w:val="center"/>
          </w:tcPr>
          <w:p w:rsidR="00043E46" w:rsidRPr="00AC251E" w:rsidRDefault="00043E46" w:rsidP="001350A0">
            <w:pPr>
              <w:spacing w:line="276" w:lineRule="auto"/>
              <w:jc w:val="left"/>
              <w:rPr>
                <w:rFonts w:ascii="Arial" w:hAnsi="Arial" w:cs="Arial"/>
                <w:b/>
                <w:bCs/>
                <w:sz w:val="20"/>
                <w:szCs w:val="20"/>
              </w:rPr>
            </w:pPr>
            <w:r w:rsidRPr="00AC251E">
              <w:rPr>
                <w:rFonts w:ascii="Arial" w:hAnsi="Arial" w:cs="Arial"/>
                <w:sz w:val="20"/>
                <w:szCs w:val="20"/>
              </w:rPr>
              <w:t>Membru</w:t>
            </w:r>
          </w:p>
        </w:tc>
        <w:tc>
          <w:tcPr>
            <w:tcW w:w="2829" w:type="dxa"/>
          </w:tcPr>
          <w:p w:rsidR="00043E46" w:rsidRPr="00AC251E" w:rsidRDefault="00043E46" w:rsidP="001350A0">
            <w:pPr>
              <w:spacing w:line="276" w:lineRule="auto"/>
              <w:jc w:val="left"/>
              <w:rPr>
                <w:rFonts w:ascii="Arial" w:hAnsi="Arial" w:cs="Arial"/>
                <w:sz w:val="20"/>
                <w:szCs w:val="20"/>
              </w:rPr>
            </w:pPr>
          </w:p>
        </w:tc>
      </w:tr>
      <w:tr w:rsidR="00043E46" w:rsidRPr="001350A0" w:rsidTr="00275289">
        <w:trPr>
          <w:trHeight w:val="300"/>
          <w:jc w:val="center"/>
        </w:trPr>
        <w:tc>
          <w:tcPr>
            <w:tcW w:w="673" w:type="dxa"/>
            <w:vAlign w:val="center"/>
          </w:tcPr>
          <w:p w:rsidR="00043E46" w:rsidRPr="00AC251E" w:rsidRDefault="00043E46" w:rsidP="00275289">
            <w:pPr>
              <w:spacing w:line="276" w:lineRule="auto"/>
              <w:jc w:val="left"/>
              <w:rPr>
                <w:rFonts w:ascii="Arial" w:hAnsi="Arial" w:cs="Arial"/>
                <w:sz w:val="20"/>
                <w:szCs w:val="20"/>
              </w:rPr>
            </w:pPr>
            <w:r w:rsidRPr="00AC251E">
              <w:rPr>
                <w:rFonts w:ascii="Arial" w:hAnsi="Arial" w:cs="Arial"/>
                <w:sz w:val="20"/>
                <w:szCs w:val="20"/>
              </w:rPr>
              <w:t>2.</w:t>
            </w:r>
          </w:p>
        </w:tc>
        <w:tc>
          <w:tcPr>
            <w:tcW w:w="4252" w:type="dxa"/>
            <w:vAlign w:val="center"/>
          </w:tcPr>
          <w:p w:rsidR="00043E46" w:rsidRPr="00AC251E" w:rsidRDefault="00043E46" w:rsidP="001350A0">
            <w:pPr>
              <w:spacing w:line="276" w:lineRule="auto"/>
              <w:jc w:val="left"/>
              <w:rPr>
                <w:rFonts w:ascii="Arial" w:hAnsi="Arial" w:cs="Arial"/>
                <w:sz w:val="20"/>
                <w:szCs w:val="20"/>
              </w:rPr>
            </w:pPr>
          </w:p>
        </w:tc>
        <w:tc>
          <w:tcPr>
            <w:tcW w:w="1355" w:type="dxa"/>
            <w:vAlign w:val="center"/>
          </w:tcPr>
          <w:p w:rsidR="00043E46" w:rsidRPr="00AC251E" w:rsidRDefault="00043E46" w:rsidP="001350A0">
            <w:pPr>
              <w:spacing w:line="276" w:lineRule="auto"/>
              <w:jc w:val="left"/>
              <w:rPr>
                <w:rFonts w:ascii="Arial" w:hAnsi="Arial" w:cs="Arial"/>
                <w:sz w:val="20"/>
                <w:szCs w:val="20"/>
              </w:rPr>
            </w:pPr>
            <w:r w:rsidRPr="00AC251E">
              <w:rPr>
                <w:rFonts w:ascii="Arial" w:hAnsi="Arial" w:cs="Arial"/>
                <w:sz w:val="20"/>
                <w:szCs w:val="20"/>
              </w:rPr>
              <w:t>Membru</w:t>
            </w:r>
          </w:p>
        </w:tc>
        <w:tc>
          <w:tcPr>
            <w:tcW w:w="2829" w:type="dxa"/>
          </w:tcPr>
          <w:p w:rsidR="00043E46" w:rsidRPr="00AC251E" w:rsidRDefault="00043E46" w:rsidP="001350A0">
            <w:pPr>
              <w:spacing w:line="276" w:lineRule="auto"/>
              <w:jc w:val="left"/>
              <w:rPr>
                <w:rFonts w:ascii="Arial" w:hAnsi="Arial" w:cs="Arial"/>
                <w:sz w:val="20"/>
                <w:szCs w:val="20"/>
              </w:rPr>
            </w:pPr>
          </w:p>
        </w:tc>
      </w:tr>
    </w:tbl>
    <w:p w:rsidR="00043E46" w:rsidRPr="001350A0" w:rsidRDefault="00043E46" w:rsidP="001350A0">
      <w:pPr>
        <w:spacing w:line="276" w:lineRule="auto"/>
        <w:rPr>
          <w:rFonts w:ascii="Arial" w:hAnsi="Arial" w:cs="Arial"/>
          <w:sz w:val="20"/>
          <w:szCs w:val="20"/>
        </w:rPr>
      </w:pPr>
    </w:p>
    <w:p w:rsidR="00043E46" w:rsidRPr="001350A0" w:rsidRDefault="00043E46" w:rsidP="001350A0">
      <w:pPr>
        <w:spacing w:line="276" w:lineRule="auto"/>
        <w:rPr>
          <w:rFonts w:ascii="Arial" w:hAnsi="Arial" w:cs="Arial"/>
          <w:sz w:val="20"/>
          <w:szCs w:val="20"/>
        </w:rPr>
      </w:pPr>
    </w:p>
    <w:tbl>
      <w:tblPr>
        <w:tblStyle w:val="TableGrid"/>
        <w:tblW w:w="14992" w:type="dxa"/>
        <w:tblLook w:val="04A0" w:firstRow="1" w:lastRow="0" w:firstColumn="1" w:lastColumn="0" w:noHBand="0" w:noVBand="1"/>
      </w:tblPr>
      <w:tblGrid>
        <w:gridCol w:w="10173"/>
        <w:gridCol w:w="4819"/>
      </w:tblGrid>
      <w:tr w:rsidR="001350A0" w:rsidRPr="001350A0" w:rsidTr="00200CDE">
        <w:trPr>
          <w:tblHeader/>
        </w:trPr>
        <w:tc>
          <w:tcPr>
            <w:tcW w:w="10173" w:type="dxa"/>
            <w:tcBorders>
              <w:bottom w:val="single" w:sz="4" w:space="0" w:color="auto"/>
            </w:tcBorders>
            <w:shd w:val="clear" w:color="auto" w:fill="92CDDC" w:themeFill="accent5" w:themeFillTint="99"/>
          </w:tcPr>
          <w:p w:rsidR="001350A0" w:rsidRPr="001350A0" w:rsidRDefault="001350A0" w:rsidP="001350A0">
            <w:pPr>
              <w:spacing w:line="276" w:lineRule="auto"/>
              <w:jc w:val="center"/>
              <w:rPr>
                <w:rFonts w:ascii="Arial" w:hAnsi="Arial" w:cs="Arial"/>
                <w:b/>
                <w:sz w:val="20"/>
                <w:szCs w:val="20"/>
              </w:rPr>
            </w:pPr>
            <w:r w:rsidRPr="001350A0">
              <w:rPr>
                <w:rFonts w:ascii="Arial" w:hAnsi="Arial" w:cs="Arial"/>
                <w:b/>
                <w:sz w:val="20"/>
                <w:szCs w:val="20"/>
              </w:rPr>
              <w:t>Prevederi normative</w:t>
            </w:r>
          </w:p>
        </w:tc>
        <w:tc>
          <w:tcPr>
            <w:tcW w:w="4819" w:type="dxa"/>
            <w:tcBorders>
              <w:bottom w:val="single" w:sz="4" w:space="0" w:color="auto"/>
            </w:tcBorders>
            <w:shd w:val="clear" w:color="auto" w:fill="92CDDC" w:themeFill="accent5" w:themeFillTint="99"/>
          </w:tcPr>
          <w:p w:rsidR="001350A0" w:rsidRPr="001350A0" w:rsidRDefault="001350A0" w:rsidP="001350A0">
            <w:pPr>
              <w:spacing w:line="276" w:lineRule="auto"/>
              <w:jc w:val="center"/>
              <w:rPr>
                <w:rFonts w:ascii="Arial" w:hAnsi="Arial" w:cs="Arial"/>
                <w:b/>
                <w:sz w:val="20"/>
                <w:szCs w:val="20"/>
              </w:rPr>
            </w:pPr>
            <w:r w:rsidRPr="001350A0">
              <w:rPr>
                <w:rFonts w:ascii="Arial" w:hAnsi="Arial" w:cs="Arial"/>
                <w:b/>
                <w:sz w:val="20"/>
                <w:szCs w:val="20"/>
              </w:rPr>
              <w:t>Constatări</w:t>
            </w:r>
          </w:p>
        </w:tc>
      </w:tr>
      <w:tr w:rsidR="001350A0" w:rsidRPr="001350A0" w:rsidTr="00200CDE">
        <w:tc>
          <w:tcPr>
            <w:tcW w:w="14992" w:type="dxa"/>
            <w:gridSpan w:val="2"/>
            <w:shd w:val="clear" w:color="auto" w:fill="FBD4B4" w:themeFill="accent6" w:themeFillTint="66"/>
          </w:tcPr>
          <w:p w:rsidR="001350A0" w:rsidRPr="001350A0" w:rsidRDefault="001350A0" w:rsidP="00275289">
            <w:pPr>
              <w:spacing w:line="276" w:lineRule="auto"/>
              <w:jc w:val="left"/>
              <w:rPr>
                <w:rFonts w:ascii="Arial" w:hAnsi="Arial" w:cs="Arial"/>
                <w:sz w:val="20"/>
                <w:szCs w:val="20"/>
              </w:rPr>
            </w:pPr>
            <w:r w:rsidRPr="001350A0">
              <w:rPr>
                <w:rFonts w:ascii="Arial" w:hAnsi="Arial" w:cs="Arial"/>
                <w:b/>
                <w:bCs/>
                <w:sz w:val="20"/>
                <w:szCs w:val="20"/>
              </w:rPr>
              <w:t>1 Cadrul legislativ de organizare şi funcționare</w:t>
            </w:r>
          </w:p>
        </w:tc>
      </w:tr>
      <w:tr w:rsidR="001350A0" w:rsidRPr="001350A0" w:rsidTr="00200CDE">
        <w:tc>
          <w:tcPr>
            <w:tcW w:w="10173" w:type="dxa"/>
            <w:tcBorders>
              <w:bottom w:val="single" w:sz="4" w:space="0" w:color="auto"/>
            </w:tcBorders>
          </w:tcPr>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 xml:space="preserve">Instituția de învățământ superior trebuie să dovedească faptul că îndeplinește toate condițiile impuse de legislația în vigoare și de standardele ARACIS în ceea ce privește modul de organizare și administrare a programului de studii de licență. </w:t>
            </w:r>
          </w:p>
          <w:p w:rsidR="001350A0" w:rsidRPr="001350A0" w:rsidRDefault="001350A0" w:rsidP="00275289">
            <w:pPr>
              <w:spacing w:line="276" w:lineRule="auto"/>
              <w:jc w:val="left"/>
              <w:rPr>
                <w:rFonts w:ascii="Arial" w:hAnsi="Arial" w:cs="Arial"/>
                <w:sz w:val="20"/>
                <w:szCs w:val="20"/>
              </w:rPr>
            </w:pPr>
            <w:r w:rsidRPr="001350A0">
              <w:rPr>
                <w:rFonts w:ascii="Arial" w:hAnsi="Arial" w:cs="Arial"/>
                <w:sz w:val="20"/>
                <w:szCs w:val="20"/>
                <w:lang w:val="en-GB"/>
              </w:rPr>
              <w:t>Programul de studii este înființat și funcționează conform legii (inclusiv în ceea ce privește respectarea capacității de școlarizare).</w:t>
            </w:r>
          </w:p>
        </w:tc>
        <w:tc>
          <w:tcPr>
            <w:tcW w:w="4819" w:type="dxa"/>
            <w:tcBorders>
              <w:bottom w:val="single" w:sz="4" w:space="0" w:color="auto"/>
            </w:tcBorders>
          </w:tcPr>
          <w:p w:rsidR="001350A0" w:rsidRPr="001350A0" w:rsidRDefault="001350A0" w:rsidP="00275289">
            <w:pPr>
              <w:spacing w:line="276" w:lineRule="auto"/>
              <w:jc w:val="left"/>
              <w:rPr>
                <w:rFonts w:ascii="Arial" w:hAnsi="Arial" w:cs="Arial"/>
                <w:sz w:val="20"/>
                <w:szCs w:val="20"/>
              </w:rPr>
            </w:pPr>
          </w:p>
        </w:tc>
      </w:tr>
      <w:tr w:rsidR="001350A0" w:rsidRPr="001350A0" w:rsidTr="00200CDE">
        <w:tc>
          <w:tcPr>
            <w:tcW w:w="14992" w:type="dxa"/>
            <w:gridSpan w:val="2"/>
            <w:shd w:val="clear" w:color="auto" w:fill="FBD4B4" w:themeFill="accent6" w:themeFillTint="66"/>
          </w:tcPr>
          <w:p w:rsidR="001350A0" w:rsidRPr="001350A0" w:rsidRDefault="001350A0" w:rsidP="00275289">
            <w:pPr>
              <w:spacing w:line="276" w:lineRule="auto"/>
              <w:jc w:val="left"/>
              <w:rPr>
                <w:rFonts w:ascii="Arial" w:hAnsi="Arial" w:cs="Arial"/>
                <w:sz w:val="20"/>
                <w:szCs w:val="20"/>
              </w:rPr>
            </w:pPr>
            <w:r w:rsidRPr="001350A0">
              <w:rPr>
                <w:rFonts w:ascii="Arial" w:hAnsi="Arial" w:cs="Arial"/>
                <w:b/>
                <w:bCs/>
                <w:sz w:val="20"/>
                <w:szCs w:val="20"/>
              </w:rPr>
              <w:t>2 Relevanța programului de studii evaluat: misiune, obiective, proiectare, rezultate</w:t>
            </w:r>
          </w:p>
        </w:tc>
      </w:tr>
      <w:tr w:rsidR="001350A0" w:rsidRPr="001350A0" w:rsidTr="00200CDE">
        <w:tc>
          <w:tcPr>
            <w:tcW w:w="10173" w:type="dxa"/>
            <w:tcBorders>
              <w:bottom w:val="single" w:sz="4" w:space="0" w:color="auto"/>
            </w:tcBorders>
          </w:tcPr>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a) Misiunea și obiectivele programului de studii sunt în</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concordanță cu misiunea instituției de învățământ superior, cu cerințele identificate pe piața muncii;</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b) Obiectivele și rezultatele declarate ale învățării (cunoștințe, competențe, valori și atitudini) ale programului de studii sunt riguros definite și sunt aduse la cunoștința candidaților și a altor beneficiari direcți și indirecți;</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c) Obiectivele programului de studii au în vedere în mod explicit: aspectele științifice/academice, angajabilitatea, dezvoltarea profesională și personală a studenților, abilități, deprinderi și cunoștințe generale și profesionale și integrarea acestora în cerințele profesiei și ale pieței muncii;</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d) Rezultatele declarate ale programului de studii permit absolvenților să se angajeze pe piața muncii în posturi ce corespund calificării obținute. Absolvenții programului de studii au clar definită perspectiva ocupației pe piața muncii;</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e) Proiectarea programul de studii se face cu implicarea reprezentanților mediului academic, inclusiv studenți, ai mediului socio-economic și cultural-artistic și ai pieței muncii;</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f) Programul de studii este proiectat în concordanță cu: Cadrul Național al Calificărilor (CNC), Registrul Național al Calificărilor din Învățământul Superior (RNCIS) sau Cadrul European al Calificărilor și descrierile din portalul ESCO, precum și cu Standardele specifice domeniului de licență, elaborate de ARACIS;</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lastRenderedPageBreak/>
              <w:t>g) Mai mult de 50% dintre studenți apreciază pozitiv mediul de învățare/dezvoltare oferit de universitate şi propriul lor traseu de învățare;</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h) Programul de studii evaluat prezintă unele particularități față de programe de studii similare oferite de alte instituții din același domeniu de licență.</w:t>
            </w:r>
          </w:p>
        </w:tc>
        <w:tc>
          <w:tcPr>
            <w:tcW w:w="4819" w:type="dxa"/>
            <w:tcBorders>
              <w:bottom w:val="single" w:sz="4" w:space="0" w:color="auto"/>
            </w:tcBorders>
          </w:tcPr>
          <w:p w:rsidR="001350A0" w:rsidRPr="001350A0" w:rsidRDefault="001350A0" w:rsidP="00275289">
            <w:pPr>
              <w:spacing w:line="276" w:lineRule="auto"/>
              <w:jc w:val="left"/>
              <w:rPr>
                <w:rFonts w:ascii="Arial" w:hAnsi="Arial" w:cs="Arial"/>
                <w:sz w:val="20"/>
                <w:szCs w:val="20"/>
              </w:rPr>
            </w:pPr>
          </w:p>
        </w:tc>
      </w:tr>
      <w:tr w:rsidR="001350A0" w:rsidRPr="001350A0" w:rsidTr="00200CDE">
        <w:tc>
          <w:tcPr>
            <w:tcW w:w="14992" w:type="dxa"/>
            <w:gridSpan w:val="2"/>
            <w:shd w:val="clear" w:color="auto" w:fill="FBD4B4" w:themeFill="accent6" w:themeFillTint="66"/>
          </w:tcPr>
          <w:p w:rsidR="001350A0" w:rsidRPr="001350A0" w:rsidRDefault="001350A0" w:rsidP="00275289">
            <w:pPr>
              <w:spacing w:line="276" w:lineRule="auto"/>
              <w:jc w:val="left"/>
              <w:rPr>
                <w:rFonts w:ascii="Arial" w:hAnsi="Arial" w:cs="Arial"/>
                <w:sz w:val="20"/>
                <w:szCs w:val="20"/>
              </w:rPr>
            </w:pPr>
            <w:r w:rsidRPr="001350A0">
              <w:rPr>
                <w:rFonts w:ascii="Arial" w:hAnsi="Arial" w:cs="Arial"/>
                <w:b/>
                <w:bCs/>
                <w:sz w:val="20"/>
                <w:szCs w:val="20"/>
              </w:rPr>
              <w:lastRenderedPageBreak/>
              <w:t>3 Conținutul programului de studii, plan de învățământ, fișe ale disciplinelor, mobilitate studenți</w:t>
            </w:r>
          </w:p>
        </w:tc>
      </w:tr>
      <w:tr w:rsidR="001350A0" w:rsidRPr="001350A0" w:rsidTr="00200CDE">
        <w:tc>
          <w:tcPr>
            <w:tcW w:w="10173" w:type="dxa"/>
            <w:tcBorders>
              <w:bottom w:val="single" w:sz="4" w:space="0" w:color="auto"/>
            </w:tcBorders>
          </w:tcPr>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a) Programul de studii este prezentat sub forma unui pachet de documente care include: misiunea, obiectivele generale şi specifice. Disciplinele din planul de învățământ sunt prevăzute într-o succesiune logică iar ponderile acestora sunt exprimate în credite de studii ECTS;</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b) Planul de învățământ este astfel conceput încât rezultatele învățării (cunoștințe, competențe, valori și atitudini) declarate pentru toate disciplinele, coroborate, asigură obținerea rezultatelor programului de studii evaluat;</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c) Nomenclatorul disciplinelor cuprinse în planul de învățământ şi conținutul acestor discipline, precizat prin programele analitice/ fișele disciplinelor, corespund domeniului de licență şi programului de studii;</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d) Metodele de predare și activitățile de învățare sunt astfel alese/ concepute încât să asigure atingerea rezultatelor previzionate ale învățării. Procesul de predare-învățare are în vedere atât activități didactice directe cât și studiu individual;</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e) Planul de învățământ este structurat astfel încât să permită absolvirea în perioada de timp alocată;</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f) Programele analitice/ fișele disciplinelor reflectă centrarea pe student a procesului de predare - învățare, inclusiv prin prevederea activităților specifice studiului individual (teme de casă, proiecte individuale sau în echipă etc.) și includerea acestora în procesul de evaluare;</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g) Programele analitice/ fișele disciplinelor prevăd corelații între rezultatele învățării declarate la care contribuie disciplina, conținutul acesteia și modul de evaluare a rezultatelor învățării dobândite de student;</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h) Raportul dintre orele de curs şi cele privind activitățile didactice aplicative - seminare, laboratoare, proiecte, stagii de practică etc. trebuie să fie conform standardelor specifice ale domeniilor de licență/ programelor de studii, elaborate de ARACIS;</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i) Planul de învățământ al programului de studii prevede stagii de practică, începând cu anul doi de studii, precum şi pentru elaborarea lucrării de licență/ proiectului de diplomă, la ultimul an de studii;</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j) Cel puțin 50% din formele de verificare ale disciplinelor de studii prevăzute în planul de învățământ sunt examene;</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k) Formațiile de studii - serii, grupe, subgrupe - sunt astfel dimensionate încât să asigure desfăşurarea eficientă a procesului de învățământ;</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l) Examenul de finalizare a studiilor este un examen sumativ care certifică asimilarea rezultatelor învățării previzionate corespunzătoare calificării universitare;</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m) Structura planului de învățământ permite studenților să participe la mobilități interne sau/și internaționale.</w:t>
            </w:r>
          </w:p>
        </w:tc>
        <w:tc>
          <w:tcPr>
            <w:tcW w:w="4819" w:type="dxa"/>
            <w:tcBorders>
              <w:bottom w:val="single" w:sz="4" w:space="0" w:color="auto"/>
            </w:tcBorders>
          </w:tcPr>
          <w:p w:rsidR="001350A0" w:rsidRPr="001350A0" w:rsidRDefault="001350A0" w:rsidP="00275289">
            <w:pPr>
              <w:spacing w:line="276" w:lineRule="auto"/>
              <w:jc w:val="left"/>
              <w:rPr>
                <w:rFonts w:ascii="Arial" w:hAnsi="Arial" w:cs="Arial"/>
                <w:sz w:val="20"/>
                <w:szCs w:val="20"/>
              </w:rPr>
            </w:pPr>
          </w:p>
        </w:tc>
      </w:tr>
      <w:tr w:rsidR="001350A0" w:rsidRPr="001350A0" w:rsidTr="00200CDE">
        <w:tc>
          <w:tcPr>
            <w:tcW w:w="14992" w:type="dxa"/>
            <w:gridSpan w:val="2"/>
            <w:shd w:val="clear" w:color="auto" w:fill="FBD4B4" w:themeFill="accent6" w:themeFillTint="66"/>
          </w:tcPr>
          <w:p w:rsidR="001350A0" w:rsidRPr="001350A0" w:rsidRDefault="001350A0" w:rsidP="00275289">
            <w:pPr>
              <w:spacing w:line="276" w:lineRule="auto"/>
              <w:jc w:val="left"/>
              <w:rPr>
                <w:rFonts w:ascii="Arial" w:hAnsi="Arial" w:cs="Arial"/>
                <w:sz w:val="20"/>
                <w:szCs w:val="20"/>
              </w:rPr>
            </w:pPr>
            <w:r w:rsidRPr="001350A0">
              <w:rPr>
                <w:rFonts w:ascii="Arial" w:hAnsi="Arial" w:cs="Arial"/>
                <w:b/>
                <w:bCs/>
                <w:sz w:val="20"/>
                <w:szCs w:val="20"/>
              </w:rPr>
              <w:t>4 Admiterea studenților</w:t>
            </w:r>
          </w:p>
        </w:tc>
      </w:tr>
      <w:tr w:rsidR="001350A0" w:rsidRPr="001350A0" w:rsidTr="00200CDE">
        <w:tc>
          <w:tcPr>
            <w:tcW w:w="10173" w:type="dxa"/>
            <w:tcBorders>
              <w:bottom w:val="single" w:sz="4" w:space="0" w:color="auto"/>
            </w:tcBorders>
          </w:tcPr>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a) Instituția de învățământ superior aplică o politică transparentă a recrutării şi admiterii studenților, anunțată public cu cel puțin şase luni înainte de aplicare;</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lastRenderedPageBreak/>
              <w:t>b) Marketingul universitar promovează informații reale şi corecte, indicând posibilități de verificare şi confirmare;</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c) Recrutarea studenților se face prin proceduri de admitere proprii. La nivelul universității/ facultății există o metodologie/ regulament de admitere la ciclul de studii universitare de licență - document distinct sau parte a unei metodologii/ unui regulament de admitere pentru toate ciclurile de studii din universitate;</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d) Criteriile de admitere sunt clar definite, nu sunt discriminatorii și se bazează exclusiv pe competențele academice ale candidatului şi care-i vor asigura acestuia asimilarea rezultatelor învățării previzionate;</w:t>
            </w:r>
          </w:p>
          <w:p w:rsidR="001350A0" w:rsidRPr="001350A0" w:rsidRDefault="001350A0" w:rsidP="00275289">
            <w:pPr>
              <w:spacing w:line="276" w:lineRule="auto"/>
              <w:jc w:val="left"/>
              <w:rPr>
                <w:rFonts w:ascii="Arial" w:hAnsi="Arial" w:cs="Arial"/>
                <w:sz w:val="20"/>
                <w:szCs w:val="20"/>
                <w:lang w:val="en-GB"/>
              </w:rPr>
            </w:pPr>
            <w:r w:rsidRPr="001350A0">
              <w:rPr>
                <w:rFonts w:ascii="Arial" w:hAnsi="Arial" w:cs="Arial"/>
                <w:sz w:val="20"/>
                <w:szCs w:val="20"/>
                <w:lang w:val="en-GB"/>
              </w:rPr>
              <w:t>e) Instituția de învățământ superior are proceduri de recunoaştere şi finalizare adecvate scopului pentru cazurile de mobilitate de studiu/ practică a studenților în tară și/sau străinătate.</w:t>
            </w:r>
          </w:p>
        </w:tc>
        <w:tc>
          <w:tcPr>
            <w:tcW w:w="4819" w:type="dxa"/>
            <w:tcBorders>
              <w:bottom w:val="single" w:sz="4" w:space="0" w:color="auto"/>
            </w:tcBorders>
          </w:tcPr>
          <w:p w:rsidR="001350A0" w:rsidRPr="001350A0" w:rsidRDefault="001350A0" w:rsidP="00275289">
            <w:pPr>
              <w:spacing w:line="276" w:lineRule="auto"/>
              <w:jc w:val="left"/>
              <w:rPr>
                <w:rFonts w:ascii="Arial" w:hAnsi="Arial" w:cs="Arial"/>
                <w:sz w:val="20"/>
                <w:szCs w:val="20"/>
              </w:rPr>
            </w:pPr>
          </w:p>
        </w:tc>
      </w:tr>
      <w:tr w:rsidR="00275289" w:rsidRPr="001350A0" w:rsidTr="00200CDE">
        <w:tc>
          <w:tcPr>
            <w:tcW w:w="14992" w:type="dxa"/>
            <w:gridSpan w:val="2"/>
            <w:shd w:val="clear" w:color="auto" w:fill="FBD4B4" w:themeFill="accent6" w:themeFillTint="66"/>
          </w:tcPr>
          <w:p w:rsidR="00275289" w:rsidRPr="001350A0" w:rsidRDefault="00275289" w:rsidP="00275289">
            <w:pPr>
              <w:spacing w:line="276" w:lineRule="auto"/>
              <w:jc w:val="left"/>
              <w:rPr>
                <w:rFonts w:ascii="Arial" w:hAnsi="Arial" w:cs="Arial"/>
                <w:sz w:val="20"/>
                <w:szCs w:val="20"/>
              </w:rPr>
            </w:pPr>
            <w:r w:rsidRPr="001350A0">
              <w:rPr>
                <w:rFonts w:ascii="Arial" w:hAnsi="Arial" w:cs="Arial"/>
                <w:b/>
                <w:bCs/>
                <w:sz w:val="20"/>
                <w:szCs w:val="20"/>
              </w:rPr>
              <w:lastRenderedPageBreak/>
              <w:t>5 Predare</w:t>
            </w:r>
            <w:r w:rsidR="00E70587">
              <w:rPr>
                <w:rFonts w:ascii="Arial" w:hAnsi="Arial" w:cs="Arial"/>
                <w:b/>
                <w:bCs/>
                <w:sz w:val="20"/>
                <w:szCs w:val="20"/>
              </w:rPr>
              <w:t xml:space="preserve"> </w:t>
            </w:r>
            <w:r w:rsidRPr="001350A0">
              <w:rPr>
                <w:rFonts w:ascii="Arial" w:hAnsi="Arial" w:cs="Arial"/>
                <w:b/>
                <w:bCs/>
                <w:sz w:val="20"/>
                <w:szCs w:val="20"/>
              </w:rPr>
              <w:t>/ învățare - Centrarea pe student</w:t>
            </w:r>
          </w:p>
        </w:tc>
      </w:tr>
      <w:tr w:rsidR="00275289" w:rsidRPr="001350A0" w:rsidTr="00200CDE">
        <w:tc>
          <w:tcPr>
            <w:tcW w:w="10173" w:type="dxa"/>
            <w:tcBorders>
              <w:bottom w:val="single" w:sz="4" w:space="0" w:color="auto"/>
            </w:tcBorders>
          </w:tcPr>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a) Procesul de predare-învățare are în vedere atât activități didactice directe cât și studiu individual;</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b) Cadrele didactice folosesc în mod flexibil o varietate de metode pedagogice prin care încurajează dezbaterile, schimbul de opinii, munca individuală și în echipă;</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c) Metodele de predare sunt adecvate pentru obținerea, de către studenți, a rezultatelor învățării (cunoștințe, competențe, valori și atitudini) în timpul alocat activităților directe și de studiu individual;</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d) Titularii de discipline au elaborat cursuri şi alte lucrări necesare procesului de învățământ, care acoperă integral problematica disciplinelor din planul de învățământ, corespunzător conținutului fișei disciplinelor;</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e) Conținutul disciplinelor și metodele pedagogice de predare-învățare sunt evaluate periodic în vederea actualizării și armonizarea acestora și pentru a se evita suprapunerile;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f) Cadrele didactice au ore de permanență la dispoziția studenților şi personalizează îndrumarea la cererea studentului;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g) Cadrele didactice folosesc în procesul de predare și învățare resursele noilor tehnologii informatice (ex. e-mail, pagină personală de web/ platforma e-learning, biblioteca virtuală, resurse în format electronic şi dialog cu studenții) şi materiale auxiliare de la tablă inteligentă la flipchart şi videoproiector, etc.</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h) Instituția de învățământ superior are proceduri de management și soluționare a reclamațiilor și contestațiilor candidaților/studenților.</w:t>
            </w:r>
          </w:p>
        </w:tc>
        <w:tc>
          <w:tcPr>
            <w:tcW w:w="4819" w:type="dxa"/>
            <w:tcBorders>
              <w:bottom w:val="single" w:sz="4" w:space="0" w:color="auto"/>
            </w:tcBorders>
          </w:tcPr>
          <w:p w:rsidR="00275289" w:rsidRPr="001350A0" w:rsidRDefault="00275289" w:rsidP="00275289">
            <w:pPr>
              <w:spacing w:line="276" w:lineRule="auto"/>
              <w:jc w:val="left"/>
              <w:rPr>
                <w:rFonts w:ascii="Arial" w:hAnsi="Arial" w:cs="Arial"/>
                <w:sz w:val="20"/>
                <w:szCs w:val="20"/>
              </w:rPr>
            </w:pPr>
          </w:p>
        </w:tc>
      </w:tr>
      <w:tr w:rsidR="00275289" w:rsidRPr="001350A0" w:rsidTr="00200CDE">
        <w:tc>
          <w:tcPr>
            <w:tcW w:w="14992" w:type="dxa"/>
            <w:gridSpan w:val="2"/>
            <w:shd w:val="clear" w:color="auto" w:fill="FBD4B4" w:themeFill="accent6" w:themeFillTint="66"/>
          </w:tcPr>
          <w:p w:rsidR="00275289" w:rsidRPr="001350A0" w:rsidRDefault="00275289" w:rsidP="00275289">
            <w:pPr>
              <w:spacing w:line="276" w:lineRule="auto"/>
              <w:jc w:val="left"/>
              <w:rPr>
                <w:rFonts w:ascii="Arial" w:hAnsi="Arial" w:cs="Arial"/>
                <w:sz w:val="20"/>
                <w:szCs w:val="20"/>
              </w:rPr>
            </w:pPr>
            <w:r w:rsidRPr="001350A0">
              <w:rPr>
                <w:rFonts w:ascii="Arial" w:hAnsi="Arial" w:cs="Arial"/>
                <w:b/>
                <w:bCs/>
                <w:sz w:val="20"/>
                <w:szCs w:val="20"/>
              </w:rPr>
              <w:t>6 Evaluarea rezultatelor învățării</w:t>
            </w:r>
          </w:p>
        </w:tc>
      </w:tr>
      <w:tr w:rsidR="00275289" w:rsidRPr="001350A0" w:rsidTr="00200CDE">
        <w:tc>
          <w:tcPr>
            <w:tcW w:w="10173" w:type="dxa"/>
            <w:tcBorders>
              <w:bottom w:val="single" w:sz="4" w:space="0" w:color="auto"/>
            </w:tcBorders>
          </w:tcPr>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a) Instituția de învățământ superior are un regulament privind evaluarea şi notarea studenților, care este aplicat în mod riguros şi consecvent. Acesta va include: situațiile de amânare a examinării, măsuri speciale pentru persoane cu dizabilități, tratarea situațiilor de copiere, etc.;</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b) Metodele de evaluare folosite sunt diverse şi încurajează gândirea critică, creativitatea, munca în echipă, studiile de caz și acoperă atât competențele exprimate oral cât și pe cele în scris;</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c) Metodele și criteriile de evaluare a studenților sunt transparente, adecvate și permit verificarea dobândirii efective de către aceștia a rezultatelor învățării (cunoștințe, competențe, valori și atitudini) prevăzute în fișele disciplinelor;</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d) Instituția de învățământ superior are reglementată procedura de promovare a studentului dintr-un an de studii în altul, în funcție de creditele de studii ECTS acumulate;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 xml:space="preserve">e) Numărul și distribuția formelor de examinare dintr-un semestru sunt astfel organizate încât asigură timpul </w:t>
            </w:r>
            <w:r w:rsidRPr="001350A0">
              <w:rPr>
                <w:rFonts w:ascii="Arial" w:hAnsi="Arial" w:cs="Arial"/>
                <w:sz w:val="20"/>
                <w:szCs w:val="20"/>
                <w:lang w:val="en-GB"/>
              </w:rPr>
              <w:lastRenderedPageBreak/>
              <w:t>necesar atât pregătirii studenților cât și desfășurării procesului de evaluare;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f) Finalizarea studiilor implică elaborarea unei lucrări de licență/ proiect de diplomă, ce demonstrează capacitatea studentului de a realiza o sarcină dată în mod independent și la nivelul standardelor impuse;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g) Statistica privind promovabilitatea la examenul de licență în ultimii 5 ani;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h) Lista absolvenți încadrați pe piața muncii - ALUMNI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i) Există reglementări cu privire la re-examinări, susținerea examenelor amânate medical și a examenelor creditate, sancționarea fraudelor înregistrate la examene, alte situații circumstanțiale;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j) Există o procedură oficială de contestare a evaluării de către studenți şi de rezolvare a contestațiilor, adusă la cunoștința acestora;</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k) Instituția de învățământ superior dispune de mecanisme pentru prevenirea încălcării eticii academice și a plagiatului.</w:t>
            </w:r>
          </w:p>
        </w:tc>
        <w:tc>
          <w:tcPr>
            <w:tcW w:w="4819" w:type="dxa"/>
            <w:tcBorders>
              <w:bottom w:val="single" w:sz="4" w:space="0" w:color="auto"/>
            </w:tcBorders>
          </w:tcPr>
          <w:p w:rsidR="00275289" w:rsidRPr="001350A0" w:rsidRDefault="00275289" w:rsidP="00275289">
            <w:pPr>
              <w:spacing w:line="276" w:lineRule="auto"/>
              <w:jc w:val="left"/>
              <w:rPr>
                <w:rFonts w:ascii="Arial" w:hAnsi="Arial" w:cs="Arial"/>
                <w:sz w:val="20"/>
                <w:szCs w:val="20"/>
              </w:rPr>
            </w:pPr>
          </w:p>
        </w:tc>
      </w:tr>
      <w:tr w:rsidR="00275289" w:rsidRPr="001350A0" w:rsidTr="00200CDE">
        <w:tc>
          <w:tcPr>
            <w:tcW w:w="14992" w:type="dxa"/>
            <w:gridSpan w:val="2"/>
            <w:shd w:val="clear" w:color="auto" w:fill="FBD4B4" w:themeFill="accent6" w:themeFillTint="66"/>
          </w:tcPr>
          <w:p w:rsidR="00275289" w:rsidRPr="001350A0" w:rsidRDefault="00275289" w:rsidP="00275289">
            <w:pPr>
              <w:spacing w:line="276" w:lineRule="auto"/>
              <w:jc w:val="left"/>
              <w:rPr>
                <w:rFonts w:ascii="Arial" w:hAnsi="Arial" w:cs="Arial"/>
                <w:sz w:val="20"/>
                <w:szCs w:val="20"/>
              </w:rPr>
            </w:pPr>
            <w:r w:rsidRPr="001350A0">
              <w:rPr>
                <w:rFonts w:ascii="Arial" w:hAnsi="Arial" w:cs="Arial"/>
                <w:b/>
                <w:bCs/>
                <w:sz w:val="20"/>
                <w:szCs w:val="20"/>
              </w:rPr>
              <w:lastRenderedPageBreak/>
              <w:t>7 Resurse umane: personal didactic, personal auxiliar</w:t>
            </w:r>
          </w:p>
        </w:tc>
      </w:tr>
      <w:tr w:rsidR="00275289" w:rsidRPr="001350A0" w:rsidTr="00200CDE">
        <w:tc>
          <w:tcPr>
            <w:tcW w:w="10173" w:type="dxa"/>
            <w:tcBorders>
              <w:bottom w:val="single" w:sz="4" w:space="0" w:color="auto"/>
            </w:tcBorders>
          </w:tcPr>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a) Personal didactic și de cercetare al programului de studii este angajat conform criteriilor de recrutare stabilite la nivel instituțional, în conformitate cu prevederile legale;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b) Instituția de învățământ superior asigură acoperirea cu personal didactic și de cercetare, adecvat atât numeric cât și ca pregătire, a activităților prevăzute la disciplinele din planul de învățământ, pentru întreg ciclul programului de studii cât și a orelor de permanentă la dispoziția studenților pentru îndrumarea acestora;</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c) Raportul între numărul studenților înmatriculați și numărul cadrelor didactice și de cercetare la programul de studii evaluat respectă prevederile standardelor specifice domeniului de licență al programului;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d) Titularii disciplinelor au titlul științific de doctor și îndeplinesc cel puțin una dintre următoarele condiții: au studii universitare de licență în domeniul disciplinelor predate; sunt conducători de doctorat în domeniul disciplinelor predate; au tema tezei de doctorat în domeniul disciplinelor predate;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e) Personalul didactic titularizat în învățământul superior acoperă, într-un an universitar, cel mult trei norme didactice conform legii, indiferent de instituția de învățământ în care îşi desfășoară activitatea;</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f) Personalul didactic și de cercetare titularizat în învățământul superior conform legii, pensionat la limita de vârstă sau din alte motive, poate activa în calitate de cadru didactic asociat, în conformitate cu prevederile legale, dar poate acoperi cel mult o normă didactică în instituția respectivă de învățământ;</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g) Cadrele didactice au pregătire relevantă pentru subiectele abordate în cadrul resurselor de învățare elaborate;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h) Instituția de învățământ superior are proceduri clare privind recrutarea cadrelor didactice și de cercetare asociate din rândul specialiștilor de prestigiu la nivel național și internațional;</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i) Personalul auxiliar care asigură suportul tehnic în laboratoarele didactice și de cercetare/ creație artistică este adecvat pentru a asigura desfășurarea activităților practice prevăzute în planul de învățământ.</w:t>
            </w:r>
          </w:p>
        </w:tc>
        <w:tc>
          <w:tcPr>
            <w:tcW w:w="4819" w:type="dxa"/>
            <w:tcBorders>
              <w:bottom w:val="single" w:sz="4" w:space="0" w:color="auto"/>
            </w:tcBorders>
          </w:tcPr>
          <w:p w:rsidR="00275289" w:rsidRPr="001350A0" w:rsidRDefault="00275289" w:rsidP="00275289">
            <w:pPr>
              <w:spacing w:line="276" w:lineRule="auto"/>
              <w:jc w:val="left"/>
              <w:rPr>
                <w:rFonts w:ascii="Arial" w:hAnsi="Arial" w:cs="Arial"/>
                <w:sz w:val="20"/>
                <w:szCs w:val="20"/>
              </w:rPr>
            </w:pPr>
          </w:p>
        </w:tc>
      </w:tr>
      <w:tr w:rsidR="00275289" w:rsidRPr="001350A0" w:rsidTr="00200CDE">
        <w:tc>
          <w:tcPr>
            <w:tcW w:w="14992" w:type="dxa"/>
            <w:gridSpan w:val="2"/>
            <w:shd w:val="clear" w:color="auto" w:fill="FBD4B4" w:themeFill="accent6" w:themeFillTint="66"/>
          </w:tcPr>
          <w:p w:rsidR="00275289" w:rsidRPr="001350A0" w:rsidRDefault="00275289" w:rsidP="00275289">
            <w:pPr>
              <w:spacing w:line="276" w:lineRule="auto"/>
              <w:jc w:val="left"/>
              <w:rPr>
                <w:rFonts w:ascii="Arial" w:hAnsi="Arial" w:cs="Arial"/>
                <w:sz w:val="20"/>
                <w:szCs w:val="20"/>
              </w:rPr>
            </w:pPr>
            <w:r w:rsidRPr="001350A0">
              <w:rPr>
                <w:rFonts w:ascii="Arial" w:hAnsi="Arial" w:cs="Arial"/>
                <w:b/>
                <w:bCs/>
                <w:sz w:val="20"/>
                <w:szCs w:val="20"/>
              </w:rPr>
              <w:t>8 Resurse materiale: spații de învățământ, bibliotecă, spații de cercetare științifică</w:t>
            </w:r>
          </w:p>
        </w:tc>
      </w:tr>
      <w:tr w:rsidR="00275289" w:rsidRPr="001350A0" w:rsidTr="00200CDE">
        <w:tc>
          <w:tcPr>
            <w:tcW w:w="10173" w:type="dxa"/>
            <w:tcBorders>
              <w:bottom w:val="single" w:sz="4" w:space="0" w:color="auto"/>
            </w:tcBorders>
          </w:tcPr>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a) Instituția de învățământ superior dispune de spații, proprii sau închiriate, corespunzătoare pentru desfășurarea activităților didactice (curs și aplicații - seminare, laboratoare, proiecte) la toate disciplinele din planul de învățământ al program de studii evaluat;</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lastRenderedPageBreak/>
              <w:t>b) Numărul de locuri în sălile de curs, seminar, laborator și proiect trebuie să fie corelat cu mărimea formațiilor de studiu - serii, grupe, subgrupe etc., conform normativelor în vigoare;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c) Capacitatea spațiilor de învățământ pentru programul de studii supus evaluării trebuie să fie adecvată desfășurării activităților didactice și în conformitate cu prevederile standardelor specifice;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d) Sălile de curs/seminar dispun de echipamente tehnice adecvate pentru predare şi comunicare; laboratoarele didactice și de cercetare dispun de echipamente specifice care asigură desfășurarea corespunzătoare a activităților aplicative, practice;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e) Instituția de învățământ superior dispune de bibliotecă dotată cu sală de lectură şi fond de carte propriu, corespunzător disciplinelor din planul de învățământ al programului de studii evaluat;</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f) Fondul de carte propriu trebuie să existe într-un număr suficient de exemplare pentru acoperirea necesităților tuturor studenților de la programul de studii evaluat;</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g) Există un număr suficient de abonamente la publicații şi periodice românești şi străine, corespunzător misiunii și obiectivelor asumate de programul de studii;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h) Pentru programele de studii cu predare în limbi străine există resurse de studiu disponibile în limba de predare, de calitate corespunzătoare și în număr suficient;</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i) Facultatea dispune de programe de stimulare a studenților cu performanțe înalte în învățare şi de recuperare a celor cu dificultăți în învățare;</w:t>
            </w:r>
          </w:p>
        </w:tc>
        <w:tc>
          <w:tcPr>
            <w:tcW w:w="4819" w:type="dxa"/>
            <w:tcBorders>
              <w:bottom w:val="single" w:sz="4" w:space="0" w:color="auto"/>
            </w:tcBorders>
          </w:tcPr>
          <w:p w:rsidR="00275289" w:rsidRPr="001350A0" w:rsidRDefault="00275289" w:rsidP="00275289">
            <w:pPr>
              <w:spacing w:line="276" w:lineRule="auto"/>
              <w:jc w:val="left"/>
              <w:rPr>
                <w:rFonts w:ascii="Arial" w:hAnsi="Arial" w:cs="Arial"/>
                <w:sz w:val="20"/>
                <w:szCs w:val="20"/>
              </w:rPr>
            </w:pPr>
          </w:p>
        </w:tc>
      </w:tr>
      <w:tr w:rsidR="00275289" w:rsidRPr="001350A0" w:rsidTr="00200CDE">
        <w:tc>
          <w:tcPr>
            <w:tcW w:w="14992" w:type="dxa"/>
            <w:gridSpan w:val="2"/>
            <w:shd w:val="clear" w:color="auto" w:fill="FBD4B4" w:themeFill="accent6" w:themeFillTint="66"/>
          </w:tcPr>
          <w:p w:rsidR="00275289" w:rsidRPr="001350A0" w:rsidRDefault="00275289" w:rsidP="00275289">
            <w:pPr>
              <w:spacing w:line="276" w:lineRule="auto"/>
              <w:jc w:val="left"/>
              <w:rPr>
                <w:rFonts w:ascii="Arial" w:hAnsi="Arial" w:cs="Arial"/>
                <w:sz w:val="20"/>
                <w:szCs w:val="20"/>
              </w:rPr>
            </w:pPr>
            <w:r w:rsidRPr="001350A0">
              <w:rPr>
                <w:rFonts w:ascii="Arial" w:hAnsi="Arial" w:cs="Arial"/>
                <w:b/>
                <w:bCs/>
                <w:sz w:val="20"/>
                <w:szCs w:val="20"/>
              </w:rPr>
              <w:lastRenderedPageBreak/>
              <w:t>9 Resurse financiare</w:t>
            </w:r>
          </w:p>
        </w:tc>
      </w:tr>
      <w:tr w:rsidR="00275289" w:rsidRPr="001350A0" w:rsidTr="00200CDE">
        <w:tc>
          <w:tcPr>
            <w:tcW w:w="10173" w:type="dxa"/>
            <w:tcBorders>
              <w:bottom w:val="single" w:sz="4" w:space="0" w:color="auto"/>
            </w:tcBorders>
          </w:tcPr>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a) Programul de studii evaluat dispune de resurse financiare suficiente pentru desfășurarea corespunzătoare a activităților didactice și de cercetare;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b) Studenții sunt informați despre posibilitățile de asistență financiară din partea instituției;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c) Taxele școlare de studii ale studenților sunt calculate în concordanță cu costurile medii de școlarizare pe an universitar din învățământul public finanțat de la buget la domeniile similar.</w:t>
            </w:r>
          </w:p>
        </w:tc>
        <w:tc>
          <w:tcPr>
            <w:tcW w:w="4819" w:type="dxa"/>
            <w:tcBorders>
              <w:bottom w:val="single" w:sz="4" w:space="0" w:color="auto"/>
            </w:tcBorders>
          </w:tcPr>
          <w:p w:rsidR="00275289" w:rsidRPr="001350A0" w:rsidRDefault="00275289" w:rsidP="00275289">
            <w:pPr>
              <w:spacing w:line="276" w:lineRule="auto"/>
              <w:jc w:val="left"/>
              <w:rPr>
                <w:rFonts w:ascii="Arial" w:hAnsi="Arial" w:cs="Arial"/>
                <w:sz w:val="20"/>
                <w:szCs w:val="20"/>
              </w:rPr>
            </w:pPr>
          </w:p>
        </w:tc>
      </w:tr>
      <w:tr w:rsidR="00275289" w:rsidRPr="001350A0" w:rsidTr="00200CDE">
        <w:tc>
          <w:tcPr>
            <w:tcW w:w="14992" w:type="dxa"/>
            <w:gridSpan w:val="2"/>
            <w:shd w:val="clear" w:color="auto" w:fill="FBD4B4" w:themeFill="accent6" w:themeFillTint="66"/>
          </w:tcPr>
          <w:p w:rsidR="00275289" w:rsidRPr="001350A0" w:rsidRDefault="00275289" w:rsidP="00275289">
            <w:pPr>
              <w:spacing w:line="276" w:lineRule="auto"/>
              <w:jc w:val="left"/>
              <w:rPr>
                <w:rFonts w:ascii="Arial" w:hAnsi="Arial" w:cs="Arial"/>
                <w:sz w:val="20"/>
                <w:szCs w:val="20"/>
              </w:rPr>
            </w:pPr>
            <w:r w:rsidRPr="001350A0">
              <w:rPr>
                <w:rFonts w:ascii="Arial" w:hAnsi="Arial" w:cs="Arial"/>
                <w:b/>
                <w:bCs/>
                <w:sz w:val="20"/>
                <w:szCs w:val="20"/>
              </w:rPr>
              <w:t>10 Activitatea de cercetare științifică</w:t>
            </w:r>
          </w:p>
        </w:tc>
      </w:tr>
      <w:tr w:rsidR="00275289" w:rsidRPr="001350A0" w:rsidTr="00200CDE">
        <w:tc>
          <w:tcPr>
            <w:tcW w:w="10173" w:type="dxa"/>
            <w:tcBorders>
              <w:bottom w:val="single" w:sz="4" w:space="0" w:color="auto"/>
            </w:tcBorders>
          </w:tcPr>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a) Domeniul de licență, respectiv programul de studii supus evaluării, dispune de plan de cercetare ştiințifică propriu inclus în planul strategic al facultății, respectiv al instituției de care aparține, atestat prin documente aflate la departament, facultate etc.</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b) Temele de cercetare cuprinse în plan se înscriu în aria ştiințifică a domeniului în care este încadrat programul de studii supus evaluării;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c) Activitatea de cercetarea dispune de resurse financiare, logistice și umane suficiente pentru a realiza obiectivele propuse;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d) Personalul didactic desfășoară activități de cercetare științifică în domeniul disciplinelor cuprinse în norma didactică pe care o acoperă, valorificate prin: publicații în reviste de specialitate sau edituri din țară sau din străinătate, comunicări științifice prezentate la sesiuni, simpozioane, seminare etc. din țară şi/sau din străinătate, contracte, expertiză, consultanță etc. pe bază de contracte sau convenții încheiate cu parteneri din țară şi/sau din străinătate, cu evaluare atestată de către comisii de specialitate, brevete și transfer tehnologic prin centre de consultanță, parcuri științifice sau alte forme de valorificare, realizarea de produse noi etc.</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lastRenderedPageBreak/>
              <w:t>e) Fiecare cadru didactic are anual cel puțin o publicație sau o realizare didactică sau științifică;</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f) Studenții sunt sprijiniți şi stimulați să desfășoare activități de cercetare, sunt implicați în proiecte de cercetare şi sunt sprijiniți pentru a participa la conferințe/ simpozioane științifice naționale şi internaționale;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g) Facultatea organizează periodic cu cadrele didactice, cercetătorii, studenții şi absolvenții sesiuni științifice, simpozioane, conferințe, mese rotunde etc.</w:t>
            </w:r>
          </w:p>
        </w:tc>
        <w:tc>
          <w:tcPr>
            <w:tcW w:w="4819" w:type="dxa"/>
            <w:tcBorders>
              <w:bottom w:val="single" w:sz="4" w:space="0" w:color="auto"/>
            </w:tcBorders>
          </w:tcPr>
          <w:p w:rsidR="00275289" w:rsidRPr="001350A0" w:rsidRDefault="00275289" w:rsidP="00275289">
            <w:pPr>
              <w:spacing w:line="276" w:lineRule="auto"/>
              <w:jc w:val="left"/>
              <w:rPr>
                <w:rFonts w:ascii="Arial" w:hAnsi="Arial" w:cs="Arial"/>
                <w:sz w:val="20"/>
                <w:szCs w:val="20"/>
              </w:rPr>
            </w:pPr>
          </w:p>
        </w:tc>
      </w:tr>
      <w:tr w:rsidR="00275289" w:rsidRPr="001350A0" w:rsidTr="00200CDE">
        <w:tc>
          <w:tcPr>
            <w:tcW w:w="14992" w:type="dxa"/>
            <w:gridSpan w:val="2"/>
            <w:shd w:val="clear" w:color="auto" w:fill="FBD4B4" w:themeFill="accent6" w:themeFillTint="66"/>
          </w:tcPr>
          <w:p w:rsidR="00275289" w:rsidRPr="001350A0" w:rsidRDefault="00275289" w:rsidP="00275289">
            <w:pPr>
              <w:spacing w:line="276" w:lineRule="auto"/>
              <w:jc w:val="left"/>
              <w:rPr>
                <w:rFonts w:ascii="Arial" w:hAnsi="Arial" w:cs="Arial"/>
                <w:sz w:val="20"/>
                <w:szCs w:val="20"/>
              </w:rPr>
            </w:pPr>
            <w:r w:rsidRPr="001350A0">
              <w:rPr>
                <w:rFonts w:ascii="Arial" w:hAnsi="Arial" w:cs="Arial"/>
                <w:b/>
                <w:bCs/>
                <w:sz w:val="20"/>
                <w:szCs w:val="20"/>
              </w:rPr>
              <w:lastRenderedPageBreak/>
              <w:t>11 Managementul calității</w:t>
            </w:r>
          </w:p>
        </w:tc>
      </w:tr>
      <w:tr w:rsidR="00275289" w:rsidRPr="001350A0" w:rsidTr="00200CDE">
        <w:tc>
          <w:tcPr>
            <w:tcW w:w="10173" w:type="dxa"/>
            <w:tcBorders>
              <w:bottom w:val="single" w:sz="4" w:space="0" w:color="auto"/>
            </w:tcBorders>
          </w:tcPr>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a) Instituția de învățământ superior are clar definite politici și strategii privind asigurarea calității materializate printr-un manual în care sunt definite toate procedurile privind asigurarea internă a calității precum și responsabilitățile diferitelor structuri manageriale și administrative;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b) La nivelul facultății/ departamentului coordonator al programului de studii există o comisie pentru evaluarea şi asigurarea calității care coordonează aplicarea procedurilor şi activităților de evaluare şi asigurare a calității;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c) Pentru fiecare program de studii procedurile de asigurare a calității includ participarea tuturor celor interesați (studenți, cadre didactice și de cercetare, absolvenți/alumni, angajatori etc.), sunt aplicate periodic și au ca obiectiv îmbunătățirea continuă a activităților didactice și de cercetare. Concluziile aplicării procedurilor sunt aduse la cunoștința tuturor participanților;</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d) Există şi se aplică un regulament privitor la inițierea, aprobarea, monitorizarea şi evaluarea periodică a programelor de studii. Periodic se elaborează un raport de evaluare internă a programului de studii, ce include propuneri de îmbunătățire a activității și calității educației;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e) Evaluarea de către studenți a tuturor cadrelor didactice se realizează pe baza unui chestionar de evaluare aprobat de Senat, care se aplică după fiecare ciclu semestrial de instruire, completarea formularului realizându-se exclusiv în absența oricărui factor extern şi cu garantarea confidențialității evaluatorului;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f) Fiecare cadru didactic se autoevaluează şi este evaluat anual de către directorul de departament;</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g) Evaluarea colegială este organizată periodic, fiind bazată pe criterii generale şi pe proceduri clare şi publice;</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h) Instituția are la nivelul facultății un sistem informatic care facilitează colectarea, prelucrarea şi analiza datelor şi informațiilor relevante pentru organizarea și funcționarea eficientă a programelor de studii și a celorlalte activități.</w:t>
            </w:r>
          </w:p>
        </w:tc>
        <w:tc>
          <w:tcPr>
            <w:tcW w:w="4819" w:type="dxa"/>
            <w:tcBorders>
              <w:bottom w:val="single" w:sz="4" w:space="0" w:color="auto"/>
            </w:tcBorders>
          </w:tcPr>
          <w:p w:rsidR="00275289" w:rsidRPr="001350A0" w:rsidRDefault="00275289" w:rsidP="00275289">
            <w:pPr>
              <w:spacing w:line="276" w:lineRule="auto"/>
              <w:jc w:val="left"/>
              <w:rPr>
                <w:rFonts w:ascii="Arial" w:hAnsi="Arial" w:cs="Arial"/>
                <w:sz w:val="20"/>
                <w:szCs w:val="20"/>
              </w:rPr>
            </w:pPr>
          </w:p>
        </w:tc>
      </w:tr>
      <w:tr w:rsidR="00275289" w:rsidRPr="001350A0" w:rsidTr="00200CDE">
        <w:tc>
          <w:tcPr>
            <w:tcW w:w="14992" w:type="dxa"/>
            <w:gridSpan w:val="2"/>
            <w:shd w:val="clear" w:color="auto" w:fill="FBD4B4" w:themeFill="accent6" w:themeFillTint="66"/>
          </w:tcPr>
          <w:p w:rsidR="00275289" w:rsidRPr="001350A0" w:rsidRDefault="00275289" w:rsidP="00275289">
            <w:pPr>
              <w:spacing w:line="276" w:lineRule="auto"/>
              <w:jc w:val="left"/>
              <w:rPr>
                <w:rFonts w:ascii="Arial" w:hAnsi="Arial" w:cs="Arial"/>
                <w:sz w:val="20"/>
                <w:szCs w:val="20"/>
              </w:rPr>
            </w:pPr>
            <w:r w:rsidRPr="001350A0">
              <w:rPr>
                <w:rFonts w:ascii="Arial" w:hAnsi="Arial" w:cs="Arial"/>
                <w:b/>
                <w:bCs/>
                <w:sz w:val="20"/>
                <w:szCs w:val="20"/>
              </w:rPr>
              <w:t>12 Transparența informațiilor și documentarea</w:t>
            </w:r>
          </w:p>
        </w:tc>
      </w:tr>
      <w:tr w:rsidR="00275289" w:rsidRPr="001350A0" w:rsidTr="00200CDE">
        <w:tc>
          <w:tcPr>
            <w:tcW w:w="10173" w:type="dxa"/>
          </w:tcPr>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a) Instituțiile de învățământ superior/ facultățile oferă informații publice complete și permanent actualizate privind: criterii de admitere, contractul de studii, regulamentul de desfășurare a activității studenților, sistemul de credite transferabile ECTS, metodologiile de finalizare ale studiilor, Carta Universității care conține și codul de etică; sistemul de management a calității;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b) Instituțiile de învățământ superior/ facultățile organizatoare a programelor de studii universitare oferă informații publice complete, actualizate și ușor accesibile, asupra: obiectivelor programelor de studii și curriculum-ul, calificările și ocupațiile vizate, politicile de predare-învățare și evaluare, resursele de studiu existente, rezultatele obținute de studenți/ absolvenți;</w:t>
            </w:r>
          </w:p>
          <w:p w:rsidR="00275289" w:rsidRPr="001350A0" w:rsidRDefault="00275289" w:rsidP="00275289">
            <w:pPr>
              <w:spacing w:line="276" w:lineRule="auto"/>
              <w:jc w:val="left"/>
              <w:rPr>
                <w:rFonts w:ascii="Arial" w:hAnsi="Arial" w:cs="Arial"/>
                <w:sz w:val="20"/>
                <w:szCs w:val="20"/>
                <w:lang w:val="en-GB"/>
              </w:rPr>
            </w:pPr>
            <w:r w:rsidRPr="001350A0">
              <w:rPr>
                <w:rFonts w:ascii="Arial" w:hAnsi="Arial" w:cs="Arial"/>
                <w:sz w:val="20"/>
                <w:szCs w:val="20"/>
                <w:lang w:val="en-GB"/>
              </w:rPr>
              <w:t>c) Absolvenții primesc Diploma de licență și Suplimentul la diplomă, care conține toate informațiile prevăzute de reglementările în vigoare.</w:t>
            </w:r>
          </w:p>
        </w:tc>
        <w:tc>
          <w:tcPr>
            <w:tcW w:w="4819" w:type="dxa"/>
          </w:tcPr>
          <w:p w:rsidR="00275289" w:rsidRPr="001350A0" w:rsidRDefault="00275289" w:rsidP="00275289">
            <w:pPr>
              <w:spacing w:line="276" w:lineRule="auto"/>
              <w:jc w:val="left"/>
              <w:rPr>
                <w:rFonts w:ascii="Arial" w:hAnsi="Arial" w:cs="Arial"/>
                <w:sz w:val="20"/>
                <w:szCs w:val="20"/>
              </w:rPr>
            </w:pPr>
          </w:p>
        </w:tc>
      </w:tr>
    </w:tbl>
    <w:p w:rsidR="00E70587" w:rsidRDefault="00E70587" w:rsidP="00E70587">
      <w:pPr>
        <w:spacing w:line="276" w:lineRule="auto"/>
        <w:jc w:val="center"/>
        <w:rPr>
          <w:rFonts w:ascii="Arial" w:hAnsi="Arial" w:cs="Arial"/>
          <w:sz w:val="20"/>
          <w:szCs w:val="20"/>
        </w:rPr>
      </w:pPr>
    </w:p>
    <w:p w:rsidR="00EA27CA" w:rsidRPr="001350A0" w:rsidRDefault="00EA27CA" w:rsidP="00E70587">
      <w:pPr>
        <w:spacing w:line="276" w:lineRule="auto"/>
        <w:jc w:val="center"/>
        <w:rPr>
          <w:rFonts w:ascii="Arial" w:hAnsi="Arial" w:cs="Arial"/>
          <w:sz w:val="20"/>
          <w:szCs w:val="20"/>
        </w:rPr>
      </w:pPr>
      <w:r w:rsidRPr="001350A0">
        <w:rPr>
          <w:rFonts w:ascii="Arial" w:hAnsi="Arial" w:cs="Arial"/>
          <w:sz w:val="20"/>
          <w:szCs w:val="20"/>
        </w:rPr>
        <w:t>Recomandarea comisiei de verificare:</w:t>
      </w: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686"/>
        <w:gridCol w:w="1134"/>
      </w:tblGrid>
      <w:tr w:rsidR="00E70587" w:rsidRPr="001350A0" w:rsidTr="00E70587">
        <w:trPr>
          <w:jc w:val="center"/>
        </w:trPr>
        <w:tc>
          <w:tcPr>
            <w:tcW w:w="3471" w:type="dxa"/>
            <w:vMerge w:val="restart"/>
            <w:vAlign w:val="center"/>
          </w:tcPr>
          <w:p w:rsidR="00E70587" w:rsidRPr="001350A0" w:rsidRDefault="00E70587" w:rsidP="00E70587">
            <w:pPr>
              <w:spacing w:line="276" w:lineRule="auto"/>
              <w:jc w:val="left"/>
              <w:rPr>
                <w:rFonts w:ascii="Arial" w:eastAsia="Calibri" w:hAnsi="Arial" w:cs="Arial"/>
                <w:sz w:val="20"/>
                <w:szCs w:val="20"/>
              </w:rPr>
            </w:pPr>
            <w:r>
              <w:rPr>
                <w:rFonts w:ascii="Arial" w:eastAsia="Calibri" w:hAnsi="Arial" w:cs="Arial"/>
                <w:sz w:val="20"/>
                <w:szCs w:val="20"/>
              </w:rPr>
              <w:t>Data:</w:t>
            </w:r>
          </w:p>
        </w:tc>
        <w:tc>
          <w:tcPr>
            <w:tcW w:w="3686" w:type="dxa"/>
            <w:vMerge w:val="restart"/>
            <w:shd w:val="clear" w:color="auto" w:fill="auto"/>
            <w:vAlign w:val="center"/>
          </w:tcPr>
          <w:p w:rsidR="00E70587" w:rsidRPr="001350A0" w:rsidRDefault="00E70587" w:rsidP="001350A0">
            <w:pPr>
              <w:spacing w:line="276" w:lineRule="auto"/>
              <w:jc w:val="left"/>
              <w:rPr>
                <w:rFonts w:ascii="Arial" w:eastAsia="Calibri" w:hAnsi="Arial" w:cs="Arial"/>
                <w:sz w:val="20"/>
                <w:szCs w:val="20"/>
              </w:rPr>
            </w:pPr>
            <w:r w:rsidRPr="001350A0">
              <w:rPr>
                <w:rFonts w:ascii="Arial" w:eastAsia="Calibri" w:hAnsi="Arial" w:cs="Arial"/>
                <w:sz w:val="20"/>
                <w:szCs w:val="20"/>
              </w:rPr>
              <w:t>Bun pentru evaluare externă ARACIS</w:t>
            </w:r>
          </w:p>
        </w:tc>
        <w:tc>
          <w:tcPr>
            <w:tcW w:w="1134" w:type="dxa"/>
            <w:shd w:val="clear" w:color="auto" w:fill="auto"/>
          </w:tcPr>
          <w:p w:rsidR="00E70587" w:rsidRPr="001350A0" w:rsidRDefault="00E70587" w:rsidP="00E70587">
            <w:pPr>
              <w:spacing w:line="276" w:lineRule="auto"/>
              <w:jc w:val="center"/>
              <w:rPr>
                <w:rFonts w:ascii="Arial" w:eastAsia="Calibri" w:hAnsi="Arial" w:cs="Arial"/>
                <w:sz w:val="20"/>
                <w:szCs w:val="20"/>
              </w:rPr>
            </w:pPr>
            <w:r w:rsidRPr="001350A0">
              <w:rPr>
                <w:rFonts w:ascii="Arial" w:eastAsia="Calibri" w:hAnsi="Arial" w:cs="Arial"/>
                <w:sz w:val="20"/>
                <w:szCs w:val="20"/>
              </w:rPr>
              <w:t>Da</w:t>
            </w:r>
          </w:p>
        </w:tc>
      </w:tr>
      <w:tr w:rsidR="00E70587" w:rsidRPr="001350A0" w:rsidTr="00E70587">
        <w:trPr>
          <w:jc w:val="center"/>
        </w:trPr>
        <w:tc>
          <w:tcPr>
            <w:tcW w:w="3471" w:type="dxa"/>
            <w:vMerge/>
          </w:tcPr>
          <w:p w:rsidR="00E70587" w:rsidRPr="001350A0" w:rsidRDefault="00E70587" w:rsidP="001350A0">
            <w:pPr>
              <w:spacing w:line="276" w:lineRule="auto"/>
              <w:rPr>
                <w:rFonts w:ascii="Arial" w:eastAsia="Calibri" w:hAnsi="Arial" w:cs="Arial"/>
                <w:sz w:val="20"/>
                <w:szCs w:val="20"/>
              </w:rPr>
            </w:pPr>
          </w:p>
        </w:tc>
        <w:tc>
          <w:tcPr>
            <w:tcW w:w="3686" w:type="dxa"/>
            <w:vMerge/>
            <w:shd w:val="clear" w:color="auto" w:fill="auto"/>
          </w:tcPr>
          <w:p w:rsidR="00E70587" w:rsidRPr="001350A0" w:rsidRDefault="00E70587" w:rsidP="001350A0">
            <w:pPr>
              <w:spacing w:line="276" w:lineRule="auto"/>
              <w:rPr>
                <w:rFonts w:ascii="Arial" w:eastAsia="Calibri" w:hAnsi="Arial" w:cs="Arial"/>
                <w:sz w:val="20"/>
                <w:szCs w:val="20"/>
              </w:rPr>
            </w:pPr>
          </w:p>
        </w:tc>
        <w:tc>
          <w:tcPr>
            <w:tcW w:w="1134" w:type="dxa"/>
            <w:shd w:val="clear" w:color="auto" w:fill="auto"/>
          </w:tcPr>
          <w:p w:rsidR="00E70587" w:rsidRPr="001350A0" w:rsidRDefault="00E70587" w:rsidP="00E70587">
            <w:pPr>
              <w:spacing w:line="276" w:lineRule="auto"/>
              <w:jc w:val="center"/>
              <w:rPr>
                <w:rFonts w:ascii="Arial" w:eastAsia="Calibri" w:hAnsi="Arial" w:cs="Arial"/>
                <w:sz w:val="20"/>
                <w:szCs w:val="20"/>
              </w:rPr>
            </w:pPr>
            <w:r w:rsidRPr="001350A0">
              <w:rPr>
                <w:rFonts w:ascii="Arial" w:eastAsia="Calibri" w:hAnsi="Arial" w:cs="Arial"/>
                <w:sz w:val="20"/>
                <w:szCs w:val="20"/>
              </w:rPr>
              <w:t>Nu</w:t>
            </w:r>
          </w:p>
        </w:tc>
      </w:tr>
    </w:tbl>
    <w:p w:rsidR="00E70587" w:rsidRDefault="00E70587" w:rsidP="00E70587">
      <w:pPr>
        <w:spacing w:line="276" w:lineRule="auto"/>
        <w:jc w:val="center"/>
        <w:rPr>
          <w:rFonts w:ascii="Arial" w:hAnsi="Arial" w:cs="Arial"/>
          <w:sz w:val="20"/>
          <w:szCs w:val="20"/>
        </w:rPr>
      </w:pPr>
    </w:p>
    <w:p w:rsidR="00E70587" w:rsidRPr="00275289" w:rsidRDefault="00E70587" w:rsidP="00E70587">
      <w:pPr>
        <w:spacing w:line="276" w:lineRule="auto"/>
        <w:jc w:val="center"/>
        <w:rPr>
          <w:rFonts w:ascii="Arial" w:hAnsi="Arial" w:cs="Arial"/>
          <w:sz w:val="20"/>
          <w:szCs w:val="20"/>
        </w:rPr>
      </w:pPr>
      <w:r w:rsidRPr="00275289">
        <w:rPr>
          <w:rFonts w:ascii="Arial" w:hAnsi="Arial" w:cs="Arial"/>
          <w:sz w:val="20"/>
          <w:szCs w:val="20"/>
        </w:rPr>
        <w:t>Componența comisiei de verificare:</w:t>
      </w:r>
    </w:p>
    <w:tbl>
      <w:tblPr>
        <w:tblW w:w="0" w:type="auto"/>
        <w:jc w:val="center"/>
        <w:tblInd w:w="-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3"/>
        <w:gridCol w:w="4252"/>
        <w:gridCol w:w="1355"/>
        <w:gridCol w:w="2829"/>
      </w:tblGrid>
      <w:tr w:rsidR="00E70587" w:rsidRPr="001350A0" w:rsidTr="009A39A0">
        <w:trPr>
          <w:trHeight w:val="300"/>
          <w:jc w:val="center"/>
        </w:trPr>
        <w:tc>
          <w:tcPr>
            <w:tcW w:w="673" w:type="dxa"/>
          </w:tcPr>
          <w:p w:rsidR="00E70587" w:rsidRPr="001350A0" w:rsidRDefault="00E70587" w:rsidP="009A39A0">
            <w:pPr>
              <w:spacing w:line="276" w:lineRule="auto"/>
              <w:jc w:val="left"/>
              <w:rPr>
                <w:rFonts w:ascii="Arial" w:hAnsi="Arial" w:cs="Arial"/>
                <w:i/>
                <w:sz w:val="20"/>
                <w:szCs w:val="20"/>
              </w:rPr>
            </w:pPr>
            <w:r>
              <w:rPr>
                <w:rFonts w:ascii="Arial" w:hAnsi="Arial" w:cs="Arial"/>
                <w:i/>
                <w:sz w:val="20"/>
                <w:szCs w:val="20"/>
              </w:rPr>
              <w:t>Nr.</w:t>
            </w:r>
          </w:p>
        </w:tc>
        <w:tc>
          <w:tcPr>
            <w:tcW w:w="4252" w:type="dxa"/>
          </w:tcPr>
          <w:p w:rsidR="00E70587" w:rsidRPr="001350A0" w:rsidRDefault="00E70587" w:rsidP="009A39A0">
            <w:pPr>
              <w:spacing w:line="276" w:lineRule="auto"/>
              <w:jc w:val="left"/>
              <w:rPr>
                <w:rFonts w:ascii="Arial" w:hAnsi="Arial" w:cs="Arial"/>
                <w:b/>
                <w:bCs/>
                <w:i/>
                <w:sz w:val="20"/>
                <w:szCs w:val="20"/>
              </w:rPr>
            </w:pPr>
            <w:r>
              <w:rPr>
                <w:rFonts w:ascii="Arial" w:hAnsi="Arial" w:cs="Arial"/>
                <w:i/>
                <w:sz w:val="20"/>
                <w:szCs w:val="20"/>
              </w:rPr>
              <w:t>Grad didactic, Prenume, Nume</w:t>
            </w:r>
          </w:p>
        </w:tc>
        <w:tc>
          <w:tcPr>
            <w:tcW w:w="1355" w:type="dxa"/>
          </w:tcPr>
          <w:p w:rsidR="00E70587" w:rsidRPr="001350A0" w:rsidRDefault="00E70587" w:rsidP="009A39A0">
            <w:pPr>
              <w:spacing w:line="276" w:lineRule="auto"/>
              <w:jc w:val="left"/>
              <w:rPr>
                <w:rFonts w:ascii="Arial" w:hAnsi="Arial" w:cs="Arial"/>
                <w:i/>
                <w:sz w:val="20"/>
                <w:szCs w:val="20"/>
              </w:rPr>
            </w:pPr>
            <w:r w:rsidRPr="001350A0">
              <w:rPr>
                <w:rFonts w:ascii="Arial" w:hAnsi="Arial" w:cs="Arial"/>
                <w:i/>
                <w:sz w:val="20"/>
                <w:szCs w:val="20"/>
              </w:rPr>
              <w:t>Calitatea</w:t>
            </w:r>
          </w:p>
        </w:tc>
        <w:tc>
          <w:tcPr>
            <w:tcW w:w="2829" w:type="dxa"/>
          </w:tcPr>
          <w:p w:rsidR="00E70587" w:rsidRPr="001350A0" w:rsidRDefault="00E70587" w:rsidP="009A39A0">
            <w:pPr>
              <w:spacing w:line="276" w:lineRule="auto"/>
              <w:jc w:val="left"/>
              <w:rPr>
                <w:rFonts w:ascii="Arial" w:hAnsi="Arial" w:cs="Arial"/>
                <w:i/>
                <w:sz w:val="20"/>
                <w:szCs w:val="20"/>
              </w:rPr>
            </w:pPr>
            <w:r w:rsidRPr="001350A0">
              <w:rPr>
                <w:rFonts w:ascii="Arial" w:hAnsi="Arial" w:cs="Arial"/>
                <w:i/>
                <w:sz w:val="20"/>
                <w:szCs w:val="20"/>
              </w:rPr>
              <w:t>Semnătura</w:t>
            </w:r>
          </w:p>
        </w:tc>
      </w:tr>
      <w:tr w:rsidR="00E70587" w:rsidRPr="001350A0" w:rsidTr="009A39A0">
        <w:trPr>
          <w:trHeight w:val="300"/>
          <w:jc w:val="center"/>
        </w:trPr>
        <w:tc>
          <w:tcPr>
            <w:tcW w:w="673" w:type="dxa"/>
            <w:vAlign w:val="center"/>
          </w:tcPr>
          <w:p w:rsidR="00E70587" w:rsidRPr="001350A0" w:rsidRDefault="00E70587" w:rsidP="009A39A0">
            <w:pPr>
              <w:spacing w:line="276" w:lineRule="auto"/>
              <w:jc w:val="left"/>
              <w:rPr>
                <w:rFonts w:ascii="Arial" w:hAnsi="Arial" w:cs="Arial"/>
                <w:i/>
                <w:sz w:val="20"/>
                <w:szCs w:val="20"/>
              </w:rPr>
            </w:pPr>
            <w:r w:rsidRPr="001350A0">
              <w:rPr>
                <w:rFonts w:ascii="Arial" w:hAnsi="Arial" w:cs="Arial"/>
                <w:i/>
                <w:sz w:val="20"/>
                <w:szCs w:val="20"/>
              </w:rPr>
              <w:t>1.</w:t>
            </w:r>
          </w:p>
        </w:tc>
        <w:tc>
          <w:tcPr>
            <w:tcW w:w="4252" w:type="dxa"/>
            <w:vAlign w:val="center"/>
          </w:tcPr>
          <w:p w:rsidR="00E70587" w:rsidRPr="001350A0" w:rsidRDefault="00E70587" w:rsidP="009A39A0">
            <w:pPr>
              <w:spacing w:line="276" w:lineRule="auto"/>
              <w:jc w:val="left"/>
              <w:rPr>
                <w:rFonts w:ascii="Arial" w:hAnsi="Arial" w:cs="Arial"/>
                <w:sz w:val="20"/>
                <w:szCs w:val="20"/>
              </w:rPr>
            </w:pPr>
          </w:p>
        </w:tc>
        <w:tc>
          <w:tcPr>
            <w:tcW w:w="1355" w:type="dxa"/>
            <w:vAlign w:val="center"/>
          </w:tcPr>
          <w:p w:rsidR="00E70587" w:rsidRPr="001350A0" w:rsidRDefault="00E70587" w:rsidP="009A39A0">
            <w:pPr>
              <w:spacing w:line="276" w:lineRule="auto"/>
              <w:jc w:val="left"/>
              <w:rPr>
                <w:rFonts w:ascii="Arial" w:hAnsi="Arial" w:cs="Arial"/>
                <w:b/>
                <w:bCs/>
                <w:i/>
                <w:sz w:val="20"/>
                <w:szCs w:val="20"/>
              </w:rPr>
            </w:pPr>
            <w:r w:rsidRPr="001350A0">
              <w:rPr>
                <w:rFonts w:ascii="Arial" w:hAnsi="Arial" w:cs="Arial"/>
                <w:i/>
                <w:sz w:val="20"/>
                <w:szCs w:val="20"/>
              </w:rPr>
              <w:t>Membru</w:t>
            </w:r>
          </w:p>
        </w:tc>
        <w:tc>
          <w:tcPr>
            <w:tcW w:w="2829" w:type="dxa"/>
          </w:tcPr>
          <w:p w:rsidR="00E70587" w:rsidRPr="001350A0" w:rsidRDefault="00E70587" w:rsidP="009A39A0">
            <w:pPr>
              <w:spacing w:line="276" w:lineRule="auto"/>
              <w:jc w:val="left"/>
              <w:rPr>
                <w:rFonts w:ascii="Arial" w:hAnsi="Arial" w:cs="Arial"/>
                <w:i/>
                <w:sz w:val="20"/>
                <w:szCs w:val="20"/>
              </w:rPr>
            </w:pPr>
          </w:p>
        </w:tc>
      </w:tr>
      <w:tr w:rsidR="00E70587" w:rsidRPr="001350A0" w:rsidTr="009A39A0">
        <w:trPr>
          <w:trHeight w:val="300"/>
          <w:jc w:val="center"/>
        </w:trPr>
        <w:tc>
          <w:tcPr>
            <w:tcW w:w="673" w:type="dxa"/>
            <w:vAlign w:val="center"/>
          </w:tcPr>
          <w:p w:rsidR="00E70587" w:rsidRPr="001350A0" w:rsidRDefault="00E70587" w:rsidP="009A39A0">
            <w:pPr>
              <w:spacing w:line="276" w:lineRule="auto"/>
              <w:jc w:val="left"/>
              <w:rPr>
                <w:rFonts w:ascii="Arial" w:hAnsi="Arial" w:cs="Arial"/>
                <w:i/>
                <w:sz w:val="20"/>
                <w:szCs w:val="20"/>
              </w:rPr>
            </w:pPr>
            <w:r w:rsidRPr="001350A0">
              <w:rPr>
                <w:rFonts w:ascii="Arial" w:hAnsi="Arial" w:cs="Arial"/>
                <w:i/>
                <w:sz w:val="20"/>
                <w:szCs w:val="20"/>
              </w:rPr>
              <w:t>2.</w:t>
            </w:r>
          </w:p>
        </w:tc>
        <w:tc>
          <w:tcPr>
            <w:tcW w:w="4252" w:type="dxa"/>
            <w:vAlign w:val="center"/>
          </w:tcPr>
          <w:p w:rsidR="00E70587" w:rsidRPr="001350A0" w:rsidRDefault="00E70587" w:rsidP="009A39A0">
            <w:pPr>
              <w:spacing w:line="276" w:lineRule="auto"/>
              <w:jc w:val="left"/>
              <w:rPr>
                <w:rFonts w:ascii="Arial" w:hAnsi="Arial" w:cs="Arial"/>
                <w:i/>
                <w:sz w:val="20"/>
                <w:szCs w:val="20"/>
              </w:rPr>
            </w:pPr>
          </w:p>
        </w:tc>
        <w:tc>
          <w:tcPr>
            <w:tcW w:w="1355" w:type="dxa"/>
            <w:vAlign w:val="center"/>
          </w:tcPr>
          <w:p w:rsidR="00E70587" w:rsidRPr="001350A0" w:rsidRDefault="00E70587" w:rsidP="009A39A0">
            <w:pPr>
              <w:spacing w:line="276" w:lineRule="auto"/>
              <w:jc w:val="left"/>
              <w:rPr>
                <w:rFonts w:ascii="Arial" w:hAnsi="Arial" w:cs="Arial"/>
                <w:i/>
                <w:sz w:val="20"/>
                <w:szCs w:val="20"/>
              </w:rPr>
            </w:pPr>
            <w:r w:rsidRPr="001350A0">
              <w:rPr>
                <w:rFonts w:ascii="Arial" w:hAnsi="Arial" w:cs="Arial"/>
                <w:i/>
                <w:sz w:val="20"/>
                <w:szCs w:val="20"/>
              </w:rPr>
              <w:t>Membru</w:t>
            </w:r>
          </w:p>
        </w:tc>
        <w:tc>
          <w:tcPr>
            <w:tcW w:w="2829" w:type="dxa"/>
          </w:tcPr>
          <w:p w:rsidR="00E70587" w:rsidRPr="001350A0" w:rsidRDefault="00E70587" w:rsidP="009A39A0">
            <w:pPr>
              <w:spacing w:line="276" w:lineRule="auto"/>
              <w:jc w:val="left"/>
              <w:rPr>
                <w:rFonts w:ascii="Arial" w:hAnsi="Arial" w:cs="Arial"/>
                <w:i/>
                <w:sz w:val="20"/>
                <w:szCs w:val="20"/>
              </w:rPr>
            </w:pPr>
          </w:p>
        </w:tc>
      </w:tr>
    </w:tbl>
    <w:p w:rsidR="00EA27CA" w:rsidRPr="001350A0" w:rsidRDefault="00EA27CA" w:rsidP="001350A0">
      <w:pPr>
        <w:widowControl/>
        <w:adjustRightInd/>
        <w:spacing w:line="276" w:lineRule="auto"/>
        <w:contextualSpacing/>
        <w:jc w:val="left"/>
        <w:textAlignment w:val="auto"/>
        <w:rPr>
          <w:rFonts w:ascii="Arial" w:hAnsi="Arial" w:cs="Arial"/>
          <w:sz w:val="20"/>
          <w:szCs w:val="20"/>
          <w:lang w:eastAsia="ro-RO"/>
        </w:rPr>
      </w:pPr>
      <w:r w:rsidRPr="001350A0">
        <w:rPr>
          <w:rFonts w:ascii="Arial" w:hAnsi="Arial" w:cs="Arial"/>
          <w:sz w:val="20"/>
          <w:szCs w:val="20"/>
          <w:lang w:eastAsia="ro-RO"/>
        </w:rPr>
        <w:t xml:space="preserve"> </w:t>
      </w:r>
    </w:p>
    <w:p w:rsidR="00EA27CA" w:rsidRPr="001350A0" w:rsidRDefault="00EA27CA" w:rsidP="001350A0">
      <w:pPr>
        <w:spacing w:line="276" w:lineRule="auto"/>
        <w:rPr>
          <w:rFonts w:ascii="Arial" w:hAnsi="Arial" w:cs="Arial"/>
          <w:sz w:val="20"/>
          <w:szCs w:val="20"/>
        </w:rPr>
      </w:pPr>
    </w:p>
    <w:sectPr w:rsidR="00EA27CA" w:rsidRPr="001350A0" w:rsidSect="00200CDE">
      <w:footerReference w:type="default" r:id="rId8"/>
      <w:pgSz w:w="16838" w:h="11906" w:orient="landscape" w:code="9"/>
      <w:pgMar w:top="851" w:right="851" w:bottom="851"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DE" w:rsidRDefault="00200CDE" w:rsidP="00200CDE">
      <w:pPr>
        <w:spacing w:line="240" w:lineRule="auto"/>
      </w:pPr>
      <w:r>
        <w:separator/>
      </w:r>
    </w:p>
  </w:endnote>
  <w:endnote w:type="continuationSeparator" w:id="0">
    <w:p w:rsidR="00200CDE" w:rsidRDefault="00200CDE" w:rsidP="00200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4428584"/>
      <w:docPartObj>
        <w:docPartGallery w:val="Page Numbers (Bottom of Page)"/>
        <w:docPartUnique/>
      </w:docPartObj>
    </w:sdtPr>
    <w:sdtEndPr>
      <w:rPr>
        <w:noProof/>
      </w:rPr>
    </w:sdtEndPr>
    <w:sdtContent>
      <w:p w:rsidR="00200CDE" w:rsidRPr="00200CDE" w:rsidRDefault="00200CDE" w:rsidP="00200CDE">
        <w:pPr>
          <w:pStyle w:val="Footer"/>
          <w:jc w:val="center"/>
          <w:rPr>
            <w:rFonts w:ascii="Arial" w:hAnsi="Arial" w:cs="Arial"/>
            <w:sz w:val="20"/>
            <w:szCs w:val="20"/>
          </w:rPr>
        </w:pPr>
        <w:r>
          <w:rPr>
            <w:rFonts w:ascii="Arial" w:hAnsi="Arial" w:cs="Arial"/>
            <w:sz w:val="20"/>
            <w:szCs w:val="20"/>
          </w:rPr>
          <w:t>[</w:t>
        </w:r>
        <w:r w:rsidRPr="00200CDE">
          <w:rPr>
            <w:rFonts w:ascii="Arial" w:hAnsi="Arial" w:cs="Arial"/>
            <w:sz w:val="20"/>
            <w:szCs w:val="20"/>
          </w:rPr>
          <w:t xml:space="preserve">pagina </w:t>
        </w:r>
        <w:r w:rsidRPr="00200CDE">
          <w:rPr>
            <w:rFonts w:ascii="Arial" w:hAnsi="Arial" w:cs="Arial"/>
            <w:sz w:val="20"/>
            <w:szCs w:val="20"/>
          </w:rPr>
          <w:fldChar w:fldCharType="begin"/>
        </w:r>
        <w:r w:rsidRPr="00200CDE">
          <w:rPr>
            <w:rFonts w:ascii="Arial" w:hAnsi="Arial" w:cs="Arial"/>
            <w:sz w:val="20"/>
            <w:szCs w:val="20"/>
          </w:rPr>
          <w:instrText xml:space="preserve"> PAGE   \* MERGEFORMAT </w:instrText>
        </w:r>
        <w:r w:rsidRPr="00200CDE">
          <w:rPr>
            <w:rFonts w:ascii="Arial" w:hAnsi="Arial" w:cs="Arial"/>
            <w:sz w:val="20"/>
            <w:szCs w:val="20"/>
          </w:rPr>
          <w:fldChar w:fldCharType="separate"/>
        </w:r>
        <w:r>
          <w:rPr>
            <w:rFonts w:ascii="Arial" w:hAnsi="Arial" w:cs="Arial"/>
            <w:noProof/>
            <w:sz w:val="20"/>
            <w:szCs w:val="20"/>
          </w:rPr>
          <w:t>1</w:t>
        </w:r>
        <w:r w:rsidRPr="00200CDE">
          <w:rPr>
            <w:rFonts w:ascii="Arial" w:hAnsi="Arial" w:cs="Arial"/>
            <w:noProof/>
            <w:sz w:val="20"/>
            <w:szCs w:val="20"/>
          </w:rPr>
          <w:fldChar w:fldCharType="end"/>
        </w:r>
        <w:r>
          <w:rPr>
            <w:rFonts w:ascii="Arial" w:hAnsi="Arial" w:cs="Arial"/>
            <w:noProof/>
            <w:sz w:val="20"/>
            <w:szCs w:val="2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DE" w:rsidRDefault="00200CDE" w:rsidP="00200CDE">
      <w:pPr>
        <w:spacing w:line="240" w:lineRule="auto"/>
      </w:pPr>
      <w:r>
        <w:separator/>
      </w:r>
    </w:p>
  </w:footnote>
  <w:footnote w:type="continuationSeparator" w:id="0">
    <w:p w:rsidR="00200CDE" w:rsidRDefault="00200CDE" w:rsidP="00200C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520F"/>
    <w:multiLevelType w:val="hybridMultilevel"/>
    <w:tmpl w:val="B42C89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746AF1"/>
    <w:multiLevelType w:val="hybridMultilevel"/>
    <w:tmpl w:val="C54EF270"/>
    <w:lvl w:ilvl="0" w:tplc="536A974C">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46"/>
    <w:rsid w:val="00043E46"/>
    <w:rsid w:val="000A35F9"/>
    <w:rsid w:val="001350A0"/>
    <w:rsid w:val="00200CDE"/>
    <w:rsid w:val="00275289"/>
    <w:rsid w:val="004F7700"/>
    <w:rsid w:val="005D00FC"/>
    <w:rsid w:val="007504A3"/>
    <w:rsid w:val="009017E2"/>
    <w:rsid w:val="0095356F"/>
    <w:rsid w:val="00AC251E"/>
    <w:rsid w:val="00E70587"/>
    <w:rsid w:val="00EA2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46"/>
    <w:pPr>
      <w:widowControl w:val="0"/>
      <w:adjustRightInd w:val="0"/>
      <w:spacing w:after="0" w:line="360" w:lineRule="atLeast"/>
      <w:jc w:val="both"/>
      <w:textAlignment w:val="baseline"/>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E46"/>
    <w:pPr>
      <w:ind w:left="720"/>
      <w:contextualSpacing/>
    </w:pPr>
  </w:style>
  <w:style w:type="paragraph" w:styleId="Header">
    <w:name w:val="header"/>
    <w:basedOn w:val="Normal"/>
    <w:link w:val="HeaderChar"/>
    <w:uiPriority w:val="99"/>
    <w:unhideWhenUsed/>
    <w:rsid w:val="00200CDE"/>
    <w:pPr>
      <w:tabs>
        <w:tab w:val="center" w:pos="4513"/>
        <w:tab w:val="right" w:pos="9026"/>
      </w:tabs>
      <w:spacing w:line="240" w:lineRule="auto"/>
    </w:pPr>
  </w:style>
  <w:style w:type="character" w:customStyle="1" w:styleId="HeaderChar">
    <w:name w:val="Header Char"/>
    <w:basedOn w:val="DefaultParagraphFont"/>
    <w:link w:val="Header"/>
    <w:uiPriority w:val="99"/>
    <w:rsid w:val="00200CDE"/>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00CDE"/>
    <w:pPr>
      <w:tabs>
        <w:tab w:val="center" w:pos="4513"/>
        <w:tab w:val="right" w:pos="9026"/>
      </w:tabs>
      <w:spacing w:line="240" w:lineRule="auto"/>
    </w:pPr>
  </w:style>
  <w:style w:type="character" w:customStyle="1" w:styleId="FooterChar">
    <w:name w:val="Footer Char"/>
    <w:basedOn w:val="DefaultParagraphFont"/>
    <w:link w:val="Footer"/>
    <w:uiPriority w:val="99"/>
    <w:rsid w:val="00200CDE"/>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46"/>
    <w:pPr>
      <w:widowControl w:val="0"/>
      <w:adjustRightInd w:val="0"/>
      <w:spacing w:after="0" w:line="360" w:lineRule="atLeast"/>
      <w:jc w:val="both"/>
      <w:textAlignment w:val="baseline"/>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E46"/>
    <w:pPr>
      <w:ind w:left="720"/>
      <w:contextualSpacing/>
    </w:pPr>
  </w:style>
  <w:style w:type="paragraph" w:styleId="Header">
    <w:name w:val="header"/>
    <w:basedOn w:val="Normal"/>
    <w:link w:val="HeaderChar"/>
    <w:uiPriority w:val="99"/>
    <w:unhideWhenUsed/>
    <w:rsid w:val="00200CDE"/>
    <w:pPr>
      <w:tabs>
        <w:tab w:val="center" w:pos="4513"/>
        <w:tab w:val="right" w:pos="9026"/>
      </w:tabs>
      <w:spacing w:line="240" w:lineRule="auto"/>
    </w:pPr>
  </w:style>
  <w:style w:type="character" w:customStyle="1" w:styleId="HeaderChar">
    <w:name w:val="Header Char"/>
    <w:basedOn w:val="DefaultParagraphFont"/>
    <w:link w:val="Header"/>
    <w:uiPriority w:val="99"/>
    <w:rsid w:val="00200CDE"/>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00CDE"/>
    <w:pPr>
      <w:tabs>
        <w:tab w:val="center" w:pos="4513"/>
        <w:tab w:val="right" w:pos="9026"/>
      </w:tabs>
      <w:spacing w:line="240" w:lineRule="auto"/>
    </w:pPr>
  </w:style>
  <w:style w:type="character" w:customStyle="1" w:styleId="FooterChar">
    <w:name w:val="Footer Char"/>
    <w:basedOn w:val="DefaultParagraphFont"/>
    <w:link w:val="Footer"/>
    <w:uiPriority w:val="99"/>
    <w:rsid w:val="00200CDE"/>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mihaelabaroni@yahoo.com</dc:creator>
  <cp:lastModifiedBy>Windows User</cp:lastModifiedBy>
  <cp:revision>10</cp:revision>
  <dcterms:created xsi:type="dcterms:W3CDTF">2020-04-01T16:55:00Z</dcterms:created>
  <dcterms:modified xsi:type="dcterms:W3CDTF">2020-04-02T04:19:00Z</dcterms:modified>
</cp:coreProperties>
</file>