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82" w:rsidRDefault="00C57982" w:rsidP="004873C4">
      <w:pPr>
        <w:spacing w:before="7" w:line="240" w:lineRule="exact"/>
        <w:jc w:val="center"/>
        <w:rPr>
          <w:rFonts w:ascii="Arial Narrow" w:hAnsi="Arial Narrow"/>
          <w:b/>
          <w:spacing w:val="1"/>
          <w:sz w:val="28"/>
          <w:szCs w:val="28"/>
        </w:rPr>
      </w:pPr>
    </w:p>
    <w:p w:rsidR="004873C4" w:rsidRPr="00F01993" w:rsidRDefault="004873C4" w:rsidP="004873C4">
      <w:pPr>
        <w:spacing w:before="7" w:line="240" w:lineRule="exact"/>
        <w:jc w:val="center"/>
        <w:rPr>
          <w:rFonts w:ascii="Arial Narrow" w:hAnsi="Arial Narrow"/>
          <w:b/>
          <w:spacing w:val="1"/>
          <w:sz w:val="28"/>
          <w:szCs w:val="28"/>
        </w:rPr>
      </w:pPr>
      <w:r w:rsidRPr="00F01993">
        <w:rPr>
          <w:rFonts w:ascii="Arial Narrow" w:hAnsi="Arial Narrow"/>
          <w:b/>
          <w:spacing w:val="1"/>
          <w:sz w:val="28"/>
          <w:szCs w:val="28"/>
        </w:rPr>
        <w:t>FIȘA DE VERIFICARE</w:t>
      </w:r>
    </w:p>
    <w:p w:rsidR="004873C4" w:rsidRPr="00F01993" w:rsidRDefault="004873C4" w:rsidP="0033289C">
      <w:pPr>
        <w:spacing w:before="7" w:line="240" w:lineRule="exact"/>
        <w:jc w:val="center"/>
        <w:rPr>
          <w:rFonts w:ascii="Arial Narrow" w:hAnsi="Arial Narrow"/>
          <w:sz w:val="24"/>
          <w:szCs w:val="24"/>
          <w:lang w:val="fr-FR"/>
        </w:rPr>
      </w:pPr>
      <w:proofErr w:type="gramStart"/>
      <w:r w:rsidRPr="00F01993">
        <w:rPr>
          <w:rFonts w:ascii="Arial Narrow" w:hAnsi="Arial Narrow"/>
          <w:b/>
          <w:spacing w:val="1"/>
          <w:sz w:val="28"/>
          <w:szCs w:val="28"/>
        </w:rPr>
        <w:t>î</w:t>
      </w:r>
      <w:r w:rsidRPr="00F01993">
        <w:rPr>
          <w:rFonts w:ascii="Arial Narrow" w:hAnsi="Arial Narrow"/>
          <w:b/>
          <w:sz w:val="28"/>
          <w:szCs w:val="28"/>
        </w:rPr>
        <w:t>n</w:t>
      </w:r>
      <w:proofErr w:type="gramEnd"/>
      <w:r w:rsidRPr="00F01993">
        <w:rPr>
          <w:rFonts w:ascii="Arial Narrow" w:hAnsi="Arial Narrow"/>
          <w:b/>
          <w:sz w:val="28"/>
          <w:szCs w:val="28"/>
        </w:rPr>
        <w:t xml:space="preserve"> v</w:t>
      </w:r>
      <w:r w:rsidRPr="00F01993">
        <w:rPr>
          <w:rFonts w:ascii="Arial Narrow" w:hAnsi="Arial Narrow"/>
          <w:b/>
          <w:spacing w:val="-2"/>
          <w:sz w:val="28"/>
          <w:szCs w:val="28"/>
        </w:rPr>
        <w:t>e</w:t>
      </w:r>
      <w:r w:rsidRPr="00F01993">
        <w:rPr>
          <w:rFonts w:ascii="Arial Narrow" w:hAnsi="Arial Narrow"/>
          <w:b/>
          <w:sz w:val="28"/>
          <w:szCs w:val="28"/>
        </w:rPr>
        <w:t>der</w:t>
      </w:r>
      <w:r w:rsidRPr="00F01993">
        <w:rPr>
          <w:rFonts w:ascii="Arial Narrow" w:hAnsi="Arial Narrow"/>
          <w:b/>
          <w:spacing w:val="-2"/>
          <w:sz w:val="28"/>
          <w:szCs w:val="28"/>
        </w:rPr>
        <w:t>e</w:t>
      </w:r>
      <w:r w:rsidRPr="00F01993">
        <w:rPr>
          <w:rFonts w:ascii="Arial Narrow" w:hAnsi="Arial Narrow"/>
          <w:b/>
          <w:sz w:val="28"/>
          <w:szCs w:val="28"/>
        </w:rPr>
        <w:t>a</w:t>
      </w:r>
      <w:r w:rsidRPr="00F01993">
        <w:rPr>
          <w:rFonts w:ascii="Arial Narrow" w:hAnsi="Arial Narrow"/>
          <w:b/>
          <w:spacing w:val="4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pacing w:val="-1"/>
          <w:sz w:val="28"/>
          <w:szCs w:val="28"/>
        </w:rPr>
        <w:t>a</w:t>
      </w:r>
      <w:r w:rsidRPr="00F01993">
        <w:rPr>
          <w:rFonts w:ascii="Arial Narrow" w:hAnsi="Arial Narrow"/>
          <w:b/>
          <w:sz w:val="28"/>
          <w:szCs w:val="28"/>
        </w:rPr>
        <w:t>cre</w:t>
      </w:r>
      <w:r w:rsidRPr="00F01993">
        <w:rPr>
          <w:rFonts w:ascii="Arial Narrow" w:hAnsi="Arial Narrow"/>
          <w:b/>
          <w:spacing w:val="-2"/>
          <w:sz w:val="28"/>
          <w:szCs w:val="28"/>
        </w:rPr>
        <w:t>d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t</w:t>
      </w:r>
      <w:r w:rsidRPr="00F01993">
        <w:rPr>
          <w:rFonts w:ascii="Arial Narrow" w:hAnsi="Arial Narrow"/>
          <w:b/>
          <w:spacing w:val="1"/>
          <w:sz w:val="28"/>
          <w:szCs w:val="28"/>
        </w:rPr>
        <w:t>ă</w:t>
      </w:r>
      <w:r w:rsidRPr="00F01993">
        <w:rPr>
          <w:rFonts w:ascii="Arial Narrow" w:hAnsi="Arial Narrow"/>
          <w:b/>
          <w:spacing w:val="-2"/>
          <w:sz w:val="28"/>
          <w:szCs w:val="28"/>
        </w:rPr>
        <w:t>r</w:t>
      </w:r>
      <w:r w:rsidRPr="00F01993">
        <w:rPr>
          <w:rFonts w:ascii="Arial Narrow" w:hAnsi="Arial Narrow"/>
          <w:b/>
          <w:spacing w:val="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-2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/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e</w:t>
      </w:r>
      <w:r w:rsidRPr="00F01993">
        <w:rPr>
          <w:rFonts w:ascii="Arial Narrow" w:hAnsi="Arial Narrow"/>
          <w:b/>
          <w:spacing w:val="-2"/>
          <w:sz w:val="28"/>
          <w:szCs w:val="28"/>
        </w:rPr>
        <w:t>v</w:t>
      </w:r>
      <w:r w:rsidRPr="00F01993">
        <w:rPr>
          <w:rFonts w:ascii="Arial Narrow" w:hAnsi="Arial Narrow"/>
          <w:b/>
          <w:spacing w:val="-1"/>
          <w:sz w:val="28"/>
          <w:szCs w:val="28"/>
        </w:rPr>
        <w:t>a</w:t>
      </w:r>
      <w:r w:rsidRPr="00F01993">
        <w:rPr>
          <w:rFonts w:ascii="Arial Narrow" w:hAnsi="Arial Narrow"/>
          <w:b/>
          <w:spacing w:val="1"/>
          <w:sz w:val="28"/>
          <w:szCs w:val="28"/>
        </w:rPr>
        <w:t>l</w:t>
      </w:r>
      <w:r w:rsidRPr="00F01993">
        <w:rPr>
          <w:rFonts w:ascii="Arial Narrow" w:hAnsi="Arial Narrow"/>
          <w:b/>
          <w:sz w:val="28"/>
          <w:szCs w:val="28"/>
        </w:rPr>
        <w:t>u</w:t>
      </w:r>
      <w:r w:rsidRPr="00F01993">
        <w:rPr>
          <w:rFonts w:ascii="Arial Narrow" w:hAnsi="Arial Narrow"/>
          <w:b/>
          <w:spacing w:val="-1"/>
          <w:sz w:val="28"/>
          <w:szCs w:val="28"/>
        </w:rPr>
        <w:t>ă</w:t>
      </w:r>
      <w:r w:rsidRPr="00F01993">
        <w:rPr>
          <w:rFonts w:ascii="Arial Narrow" w:hAnsi="Arial Narrow"/>
          <w:b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Pr="00F01993">
        <w:rPr>
          <w:rFonts w:ascii="Arial Narrow" w:hAnsi="Arial Narrow"/>
          <w:b/>
          <w:sz w:val="28"/>
          <w:szCs w:val="28"/>
        </w:rPr>
        <w:t>pe</w:t>
      </w:r>
      <w:r w:rsidRPr="00F01993">
        <w:rPr>
          <w:rFonts w:ascii="Arial Narrow" w:hAnsi="Arial Narrow"/>
          <w:b/>
          <w:spacing w:val="-3"/>
          <w:sz w:val="28"/>
          <w:szCs w:val="28"/>
        </w:rPr>
        <w:t>r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pacing w:val="1"/>
          <w:sz w:val="28"/>
          <w:szCs w:val="28"/>
        </w:rPr>
        <w:t>o</w:t>
      </w:r>
      <w:r w:rsidRPr="00F01993">
        <w:rPr>
          <w:rFonts w:ascii="Arial Narrow" w:hAnsi="Arial Narrow"/>
          <w:b/>
          <w:sz w:val="28"/>
          <w:szCs w:val="28"/>
        </w:rPr>
        <w:t>d</w:t>
      </w:r>
      <w:r w:rsidRPr="00F01993">
        <w:rPr>
          <w:rFonts w:ascii="Arial Narrow" w:hAnsi="Arial Narrow"/>
          <w:b/>
          <w:spacing w:val="-1"/>
          <w:sz w:val="28"/>
          <w:szCs w:val="28"/>
        </w:rPr>
        <w:t>i</w:t>
      </w:r>
      <w:r w:rsidRPr="00F01993">
        <w:rPr>
          <w:rFonts w:ascii="Arial Narrow" w:hAnsi="Arial Narrow"/>
          <w:b/>
          <w:sz w:val="28"/>
          <w:szCs w:val="28"/>
        </w:rPr>
        <w:t>ce a</w:t>
      </w:r>
      <w:r w:rsidRPr="00F01993">
        <w:rPr>
          <w:rFonts w:ascii="Arial Narrow" w:hAnsi="Arial Narrow"/>
          <w:b/>
          <w:spacing w:val="1"/>
          <w:sz w:val="28"/>
          <w:szCs w:val="28"/>
        </w:rPr>
        <w:t xml:space="preserve"> </w:t>
      </w:r>
      <w:r w:rsidR="0027189D">
        <w:rPr>
          <w:rFonts w:ascii="Arial Narrow" w:hAnsi="Arial Narrow"/>
          <w:b/>
          <w:sz w:val="28"/>
          <w:szCs w:val="28"/>
        </w:rPr>
        <w:t>școlilor doctorale</w:t>
      </w:r>
      <w:r w:rsidR="00BD6C0D">
        <w:rPr>
          <w:rFonts w:ascii="Arial Narrow" w:hAnsi="Arial Narrow"/>
          <w:b/>
          <w:sz w:val="28"/>
          <w:szCs w:val="28"/>
        </w:rPr>
        <w:t xml:space="preserve"> și a instituțiilor organizatoare de studii universitare de doctorat (IOSUD)</w:t>
      </w:r>
    </w:p>
    <w:p w:rsidR="004873C4" w:rsidRDefault="004873C4" w:rsidP="004873C4">
      <w:pPr>
        <w:spacing w:before="7" w:line="280" w:lineRule="exact"/>
        <w:rPr>
          <w:sz w:val="28"/>
          <w:szCs w:val="28"/>
        </w:rPr>
      </w:pPr>
    </w:p>
    <w:p w:rsidR="00C57982" w:rsidRDefault="00C57982" w:rsidP="004873C4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4788"/>
      </w:tblGrid>
      <w:tr w:rsidR="004873C4" w:rsidRPr="009A3F06" w:rsidTr="0013144F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4873C4" w:rsidRPr="009A3F06" w:rsidRDefault="0027189D" w:rsidP="0013144F">
            <w:pPr>
              <w:ind w:left="357" w:hanging="357"/>
              <w:rPr>
                <w:rFonts w:ascii="Arial Narrow" w:eastAsia="Calibri" w:hAnsi="Arial Narrow"/>
                <w:b/>
                <w:sz w:val="22"/>
              </w:rPr>
            </w:pPr>
            <w:r>
              <w:rPr>
                <w:rFonts w:ascii="Arial Narrow" w:eastAsia="Calibri" w:hAnsi="Arial Narrow"/>
                <w:b/>
              </w:rPr>
              <w:t>Școala doctorală</w:t>
            </w:r>
            <w:r w:rsidR="00BD6C0D">
              <w:rPr>
                <w:rFonts w:ascii="Arial Narrow" w:eastAsia="Calibri" w:hAnsi="Arial Narrow"/>
                <w:b/>
              </w:rPr>
              <w:t xml:space="preserve"> / IOSUD</w:t>
            </w:r>
          </w:p>
        </w:tc>
        <w:tc>
          <w:tcPr>
            <w:tcW w:w="4788" w:type="dxa"/>
            <w:shd w:val="clear" w:color="auto" w:fill="auto"/>
          </w:tcPr>
          <w:p w:rsidR="004873C4" w:rsidRPr="00F01993" w:rsidRDefault="004873C4" w:rsidP="0013144F">
            <w:pPr>
              <w:tabs>
                <w:tab w:val="left" w:pos="825"/>
                <w:tab w:val="center" w:pos="2286"/>
              </w:tabs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  <w:tr w:rsidR="004873C4" w:rsidRPr="009A3F06" w:rsidTr="0013144F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4873C4" w:rsidRPr="009A3F06" w:rsidRDefault="002C294D" w:rsidP="002C294D">
            <w:pPr>
              <w:ind w:left="357" w:hanging="357"/>
              <w:rPr>
                <w:rFonts w:ascii="Arial Narrow" w:eastAsia="Calibri" w:hAnsi="Arial Narrow"/>
                <w:b/>
              </w:rPr>
            </w:pPr>
            <w:r w:rsidRPr="002C294D">
              <w:rPr>
                <w:rFonts w:ascii="Arial Narrow" w:eastAsia="Calibri" w:hAnsi="Arial Narrow"/>
                <w:b/>
              </w:rPr>
              <w:t>Forma de evaluare</w:t>
            </w:r>
            <w:r>
              <w:rPr>
                <w:rFonts w:ascii="Arial Narrow" w:eastAsia="Calibri" w:hAnsi="Arial Narrow"/>
              </w:rPr>
              <w:t xml:space="preserve"> (</w:t>
            </w:r>
            <w:r w:rsidR="004873C4" w:rsidRPr="002C294D">
              <w:rPr>
                <w:rFonts w:ascii="Arial Narrow" w:eastAsia="Calibri" w:hAnsi="Arial Narrow"/>
                <w:b/>
              </w:rPr>
              <w:t>A</w:t>
            </w:r>
            <w:r w:rsidR="004873C4" w:rsidRPr="002C294D">
              <w:rPr>
                <w:rFonts w:ascii="Arial Narrow" w:eastAsia="Calibri" w:hAnsi="Arial Narrow"/>
              </w:rPr>
              <w:t>/</w:t>
            </w:r>
            <w:r w:rsidR="004873C4" w:rsidRPr="009A3F06">
              <w:rPr>
                <w:rFonts w:ascii="Arial Narrow" w:eastAsia="Calibri" w:hAnsi="Arial Narrow"/>
                <w:b/>
              </w:rPr>
              <w:t>EP)</w:t>
            </w:r>
          </w:p>
        </w:tc>
        <w:tc>
          <w:tcPr>
            <w:tcW w:w="4788" w:type="dxa"/>
            <w:shd w:val="clear" w:color="auto" w:fill="auto"/>
          </w:tcPr>
          <w:p w:rsidR="004873C4" w:rsidRPr="00F01993" w:rsidRDefault="004873C4" w:rsidP="0013144F">
            <w:pPr>
              <w:ind w:left="357" w:hanging="357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</w:tr>
    </w:tbl>
    <w:p w:rsidR="004873C4" w:rsidRDefault="004873C4" w:rsidP="004873C4">
      <w:pPr>
        <w:rPr>
          <w:rFonts w:ascii="Calibri" w:hAnsi="Calibri"/>
        </w:rPr>
      </w:pPr>
    </w:p>
    <w:p w:rsidR="00C57982" w:rsidRPr="009A3F06" w:rsidRDefault="00C57982" w:rsidP="004873C4">
      <w:pPr>
        <w:rPr>
          <w:rFonts w:ascii="Calibri" w:hAnsi="Calibri"/>
        </w:rPr>
      </w:pPr>
    </w:p>
    <w:p w:rsidR="004873C4" w:rsidRPr="004F5CFC" w:rsidRDefault="004873C4" w:rsidP="004873C4">
      <w:pPr>
        <w:ind w:left="720" w:firstLine="720"/>
        <w:rPr>
          <w:rFonts w:ascii="Arial Narrow" w:hAnsi="Arial Narrow"/>
          <w:i/>
          <w:sz w:val="22"/>
          <w:szCs w:val="22"/>
        </w:rPr>
      </w:pPr>
      <w:r w:rsidRPr="004F5CFC">
        <w:rPr>
          <w:rFonts w:ascii="Arial Narrow" w:hAnsi="Arial Narrow"/>
          <w:i/>
          <w:sz w:val="22"/>
          <w:szCs w:val="22"/>
        </w:rPr>
        <w:t>Componența comisiei de verificare: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58"/>
        <w:gridCol w:w="2743"/>
        <w:gridCol w:w="928"/>
        <w:gridCol w:w="1099"/>
      </w:tblGrid>
      <w:tr w:rsidR="004873C4" w:rsidRPr="009A3F06" w:rsidTr="0013144F">
        <w:trPr>
          <w:trHeight w:val="300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Nr. crt.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 xml:space="preserve">Grad didactic, Prenume, NUME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Calitatea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Semnătura</w:t>
            </w:r>
          </w:p>
        </w:tc>
      </w:tr>
      <w:tr w:rsidR="004873C4" w:rsidRPr="009A3F06" w:rsidTr="0013144F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4873C4" w:rsidRPr="009A3F06" w:rsidRDefault="004873C4" w:rsidP="0013144F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873C4" w:rsidRPr="009A3F06" w:rsidRDefault="004873C4" w:rsidP="0013144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873C4" w:rsidRPr="009A3F06" w:rsidRDefault="004873C4" w:rsidP="0013144F">
            <w:pPr>
              <w:spacing w:before="60" w:after="60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Membru</w:t>
            </w:r>
          </w:p>
        </w:tc>
        <w:tc>
          <w:tcPr>
            <w:tcW w:w="0" w:type="auto"/>
            <w:tcBorders>
              <w:top w:val="nil"/>
            </w:tcBorders>
          </w:tcPr>
          <w:p w:rsidR="004873C4" w:rsidRPr="009A3F06" w:rsidRDefault="004873C4" w:rsidP="0013144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873C4" w:rsidRPr="009A3F06" w:rsidTr="0013144F">
        <w:trPr>
          <w:trHeight w:val="300"/>
          <w:jc w:val="center"/>
        </w:trPr>
        <w:tc>
          <w:tcPr>
            <w:tcW w:w="0" w:type="auto"/>
            <w:vAlign w:val="center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 xml:space="preserve">    2.</w:t>
            </w:r>
          </w:p>
        </w:tc>
        <w:tc>
          <w:tcPr>
            <w:tcW w:w="0" w:type="auto"/>
            <w:vAlign w:val="center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A3F06">
              <w:rPr>
                <w:rFonts w:ascii="Arial Narrow" w:hAnsi="Arial Narrow"/>
                <w:i/>
                <w:sz w:val="22"/>
                <w:szCs w:val="22"/>
              </w:rPr>
              <w:t>Membru</w:t>
            </w:r>
          </w:p>
        </w:tc>
        <w:tc>
          <w:tcPr>
            <w:tcW w:w="0" w:type="auto"/>
          </w:tcPr>
          <w:p w:rsidR="004873C4" w:rsidRPr="009A3F06" w:rsidRDefault="004873C4" w:rsidP="0013144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4873C4" w:rsidRPr="00C57982" w:rsidRDefault="004873C4" w:rsidP="00C57982">
      <w:pPr>
        <w:spacing w:before="3"/>
        <w:rPr>
          <w:rFonts w:ascii="Arial" w:hAnsi="Arial" w:cs="Arial"/>
          <w:sz w:val="22"/>
          <w:szCs w:val="15"/>
          <w:lang w:val="fr-FR"/>
        </w:rPr>
      </w:pPr>
    </w:p>
    <w:p w:rsidR="00C57982" w:rsidRPr="00C57982" w:rsidRDefault="00C57982" w:rsidP="00C57982">
      <w:pPr>
        <w:spacing w:before="3"/>
        <w:rPr>
          <w:rFonts w:ascii="Arial" w:hAnsi="Arial" w:cs="Arial"/>
          <w:sz w:val="22"/>
          <w:szCs w:val="15"/>
          <w:lang w:val="fr-FR"/>
        </w:rPr>
      </w:pPr>
    </w:p>
    <w:p w:rsidR="00513EE1" w:rsidRPr="00C57982" w:rsidRDefault="00513EE1" w:rsidP="00C57982">
      <w:pPr>
        <w:spacing w:before="3"/>
        <w:rPr>
          <w:rFonts w:ascii="Arial" w:hAnsi="Arial" w:cs="Arial"/>
          <w:sz w:val="22"/>
          <w:szCs w:val="15"/>
          <w:lang w:val="fr-FR"/>
        </w:rPr>
      </w:pPr>
    </w:p>
    <w:p w:rsidR="00241A09" w:rsidRDefault="00241A09" w:rsidP="00C57982">
      <w:pPr>
        <w:spacing w:before="3"/>
        <w:rPr>
          <w:sz w:val="15"/>
          <w:szCs w:val="15"/>
          <w:lang w:val="fr-FR"/>
        </w:rPr>
      </w:pPr>
    </w:p>
    <w:tbl>
      <w:tblPr>
        <w:tblW w:w="0" w:type="auto"/>
        <w:tblInd w:w="111" w:type="dxa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9922"/>
        <w:gridCol w:w="12"/>
        <w:gridCol w:w="2965"/>
      </w:tblGrid>
      <w:tr w:rsidR="000951F9" w:rsidRPr="0084085F" w:rsidTr="00914C9B">
        <w:tc>
          <w:tcPr>
            <w:tcW w:w="12525" w:type="dxa"/>
            <w:gridSpan w:val="3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DAEEF3"/>
          </w:tcPr>
          <w:p w:rsidR="00241A09" w:rsidRPr="000951F9" w:rsidRDefault="00241A09" w:rsidP="000951F9">
            <w:pPr>
              <w:ind w:left="101" w:right="103" w:firstLine="1"/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CERINŢE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NOR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M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ATIVE O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B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LI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G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ATORII,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S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TA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N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D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R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D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E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Ş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I INDI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C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ATORI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D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E 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P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E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RF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OR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M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A</w:t>
            </w:r>
            <w:r w:rsidRPr="000951F9">
              <w:rPr>
                <w:rFonts w:ascii="Arial Narrow" w:hAnsi="Arial Narrow"/>
                <w:b/>
                <w:sz w:val="22"/>
                <w:szCs w:val="22"/>
                <w:lang w:val="fr-FR"/>
              </w:rPr>
              <w:t>N</w:t>
            </w: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ŢĂ</w:t>
            </w:r>
          </w:p>
        </w:tc>
        <w:tc>
          <w:tcPr>
            <w:tcW w:w="2965" w:type="dxa"/>
            <w:vMerge w:val="restart"/>
            <w:tcBorders>
              <w:top w:val="single" w:sz="6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DAEEF3"/>
            <w:vAlign w:val="center"/>
          </w:tcPr>
          <w:p w:rsidR="00241A09" w:rsidRPr="00EC54DC" w:rsidRDefault="00241A09" w:rsidP="00081F88">
            <w:pPr>
              <w:ind w:left="101" w:right="103" w:firstLine="1"/>
              <w:jc w:val="center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CONSTATARI</w:t>
            </w:r>
          </w:p>
        </w:tc>
      </w:tr>
      <w:tr w:rsidR="000951F9" w:rsidRPr="0084085F" w:rsidTr="00914C9B">
        <w:tc>
          <w:tcPr>
            <w:tcW w:w="2591" w:type="dxa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DAEDF3"/>
          </w:tcPr>
          <w:p w:rsidR="00241A09" w:rsidRPr="0084085F" w:rsidRDefault="00241A09" w:rsidP="00081F88">
            <w:pPr>
              <w:ind w:lef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085F">
              <w:rPr>
                <w:rFonts w:ascii="Arial Narrow" w:hAnsi="Arial Narrow"/>
                <w:b/>
                <w:sz w:val="24"/>
                <w:szCs w:val="24"/>
              </w:rPr>
              <w:t>STANDARD</w:t>
            </w:r>
          </w:p>
        </w:tc>
        <w:tc>
          <w:tcPr>
            <w:tcW w:w="9934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DAEDF3"/>
          </w:tcPr>
          <w:p w:rsidR="00241A09" w:rsidRPr="00EC54DC" w:rsidRDefault="00241A09" w:rsidP="00081F88">
            <w:pPr>
              <w:ind w:left="100"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  <w:lang w:val="ro-RO"/>
              </w:rPr>
            </w:pPr>
            <w:r w:rsidRPr="00EC54DC">
              <w:rPr>
                <w:rFonts w:ascii="Arial Narrow" w:hAnsi="Arial Narrow"/>
                <w:b/>
                <w:spacing w:val="-3"/>
                <w:sz w:val="22"/>
                <w:szCs w:val="22"/>
                <w:lang w:val="fr-FR"/>
              </w:rPr>
              <w:t>INDICATORI</w:t>
            </w:r>
            <w:r w:rsidRPr="00EC54DC">
              <w:rPr>
                <w:rFonts w:ascii="Arial Narrow" w:hAnsi="Arial Narrow"/>
                <w:b/>
                <w:spacing w:val="-3"/>
                <w:sz w:val="22"/>
                <w:szCs w:val="22"/>
                <w:lang w:val="ro-RO"/>
              </w:rPr>
              <w:t xml:space="preserve"> DE PERFORMANȚĂ ARACIS</w:t>
            </w:r>
          </w:p>
        </w:tc>
        <w:tc>
          <w:tcPr>
            <w:tcW w:w="2965" w:type="dxa"/>
            <w:vMerge/>
            <w:tcBorders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C6D9F1" w:themeFill="text2" w:themeFillTint="33"/>
          </w:tcPr>
          <w:p w:rsidR="00241A09" w:rsidRPr="00EC54DC" w:rsidRDefault="00241A09" w:rsidP="00081F88">
            <w:pPr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C6D9F1" w:themeFill="text2" w:themeFillTint="33"/>
            <w:vAlign w:val="center"/>
          </w:tcPr>
          <w:p w:rsidR="00241A09" w:rsidRPr="00EC54DC" w:rsidRDefault="00241A09" w:rsidP="00081F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A.CAPACITATEA INSTITUȚIONALĂ</w:t>
            </w: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right w:val="single" w:sz="6" w:space="0" w:color="17365D"/>
            </w:tcBorders>
            <w:shd w:val="clear" w:color="auto" w:fill="EAEAEA"/>
            <w:vAlign w:val="center"/>
          </w:tcPr>
          <w:p w:rsidR="00241A09" w:rsidRPr="00EC54DC" w:rsidRDefault="00241A09" w:rsidP="00081F88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</w:rPr>
              <w:t>A.1. S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ctu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r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e ins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ţional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e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, a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dm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ini</w:t>
            </w:r>
            <w:r w:rsidRPr="00EC54DC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EC54DC">
              <w:rPr>
                <w:rFonts w:ascii="Arial Narrow" w:hAnsi="Arial Narrow"/>
                <w:b/>
                <w:spacing w:val="-2"/>
                <w:sz w:val="22"/>
                <w:szCs w:val="22"/>
              </w:rPr>
              <w:t>t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tive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m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EC54DC">
              <w:rPr>
                <w:rFonts w:ascii="Arial Narrow" w:hAnsi="Arial Narrow"/>
                <w:b/>
                <w:spacing w:val="3"/>
                <w:sz w:val="22"/>
                <w:szCs w:val="22"/>
              </w:rPr>
              <w:t>e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ri</w:t>
            </w:r>
            <w:r w:rsidRPr="00EC54DC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le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și resurse financiare</w:t>
            </w:r>
          </w:p>
        </w:tc>
      </w:tr>
      <w:tr w:rsidR="005C4B3E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84085F" w:rsidRDefault="00241A09" w:rsidP="00F77517">
            <w:pPr>
              <w:ind w:left="39"/>
              <w:rPr>
                <w:rFonts w:ascii="Arial Narrow" w:hAnsi="Arial Narrow"/>
                <w:sz w:val="24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A.1.1. Institu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organizatoare de studii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universitare de doctorat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(IOSUD) </w:t>
            </w:r>
            <w:proofErr w:type="gramStart"/>
            <w:r w:rsidRPr="00241A09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 w:rsidRPr="00241A09">
              <w:rPr>
                <w:rFonts w:ascii="Arial Narrow" w:hAnsi="Arial Narrow"/>
                <w:sz w:val="22"/>
                <w:szCs w:val="24"/>
              </w:rPr>
              <w:t xml:space="preserve"> implementat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mecanismele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func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ionare eficient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prev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zute în legisla</w:t>
            </w:r>
            <w:r w:rsidR="00F77517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specific</w:t>
            </w:r>
            <w:r w:rsidR="00F77517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privind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organizarea studiilor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doctorat.</w:t>
            </w: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A.1.1.1.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a regulamentelor </w:t>
            </w:r>
            <w:r>
              <w:rPr>
                <w:rFonts w:ascii="Arial Narrow" w:hAnsi="Arial Narrow"/>
                <w:sz w:val="22"/>
                <w:szCs w:val="24"/>
              </w:rPr>
              <w:t>specific</w:t>
            </w:r>
            <w:r w:rsidR="0095024A">
              <w:rPr>
                <w:rFonts w:ascii="Arial Narrow" w:hAnsi="Arial Narrow"/>
                <w:sz w:val="22"/>
                <w:szCs w:val="24"/>
              </w:rPr>
              <w:t>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aplicarea acestora la nivelul IOSUD,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respectiv al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colii doctorale, având ca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perioad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de referin</w:t>
            </w:r>
            <w:r w:rsidR="0095024A">
              <w:rPr>
                <w:rFonts w:ascii="Arial Narrow" w:hAnsi="Arial Narrow"/>
                <w:sz w:val="22"/>
                <w:szCs w:val="24"/>
              </w:rPr>
              <w:t>ță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ultimii cinci ani: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a) regulamente interne ale structurilor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administrative (regulamentul institu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ional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organizare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 a studiilor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universitare de doctorat, regulamentele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colilor doctorale);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b) metodologia de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 a alegerilor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la nivelul C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SUD,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colilor doctorale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dovezi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ale derul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rii acestora;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c) metodologia de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 a ultimului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concurs pentru func</w:t>
            </w:r>
            <w:r w:rsidR="0095024A">
              <w:rPr>
                <w:rFonts w:ascii="Arial Narrow" w:hAnsi="Arial Narrow"/>
                <w:sz w:val="22"/>
                <w:szCs w:val="24"/>
              </w:rPr>
              <w:t>ția de director C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SUD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dovezi ale derul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rii acestuia;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 xml:space="preserve">d) metodologii de organizare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desf</w:t>
            </w:r>
            <w:r w:rsidR="0095024A">
              <w:rPr>
                <w:rFonts w:ascii="Arial Narrow" w:hAnsi="Arial Narrow"/>
                <w:sz w:val="22"/>
                <w:szCs w:val="24"/>
              </w:rPr>
              <w:t>ăș</w:t>
            </w:r>
            <w:r w:rsidRPr="00241A09">
              <w:rPr>
                <w:rFonts w:ascii="Arial Narrow" w:hAnsi="Arial Narrow"/>
                <w:sz w:val="22"/>
                <w:szCs w:val="24"/>
              </w:rPr>
              <w:t>urare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 studiilor de doctorat (de admitere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studen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ilor doctoranzi, de finalizare 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studiilor de doctorat);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e)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a unor mecanisme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recunoa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tere a calit</w:t>
            </w:r>
            <w:r w:rsidR="0095024A">
              <w:rPr>
                <w:rFonts w:ascii="Arial Narrow" w:hAnsi="Arial Narrow"/>
                <w:sz w:val="22"/>
                <w:szCs w:val="24"/>
              </w:rPr>
              <w:t>ăț</w:t>
            </w:r>
            <w:r w:rsidRPr="00241A09">
              <w:rPr>
                <w:rFonts w:ascii="Arial Narrow" w:hAnsi="Arial Narrow"/>
                <w:sz w:val="22"/>
                <w:szCs w:val="24"/>
              </w:rPr>
              <w:t>ii de conduc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tor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doctorat </w:t>
            </w:r>
            <w:r w:rsidR="00EC26E0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de echivalare a doctoratului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ob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inut în alte state;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f) structuri de conducere func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ionale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[</w:t>
            </w:r>
            <w:r w:rsidR="0095024A">
              <w:rPr>
                <w:rFonts w:ascii="Arial Narrow" w:hAnsi="Arial Narrow"/>
                <w:sz w:val="22"/>
                <w:szCs w:val="24"/>
              </w:rPr>
              <w:t>IOSUD/CSUD/C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onsiliul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colii doctorale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(regularitatea convoc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rii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edin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241A09">
              <w:rPr>
                <w:rFonts w:ascii="Arial Narrow" w:hAnsi="Arial Narrow"/>
                <w:sz w:val="22"/>
                <w:szCs w:val="24"/>
              </w:rPr>
              <w:t>elor)];</w:t>
            </w:r>
          </w:p>
          <w:p w:rsidR="00241A09" w:rsidRPr="00241A09" w:rsidRDefault="00241A09" w:rsidP="00241A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>g) contractul de studii universitare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doctorat;</w:t>
            </w:r>
          </w:p>
          <w:p w:rsidR="00241A09" w:rsidRPr="00241A09" w:rsidRDefault="00241A09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 xml:space="preserve">h) </w:t>
            </w:r>
            <w:proofErr w:type="gramStart"/>
            <w:r w:rsidRPr="00241A09">
              <w:rPr>
                <w:rFonts w:ascii="Arial Narrow" w:hAnsi="Arial Narrow"/>
                <w:sz w:val="22"/>
                <w:szCs w:val="24"/>
              </w:rPr>
              <w:t>proceduri</w:t>
            </w:r>
            <w:proofErr w:type="gramEnd"/>
            <w:r w:rsidRPr="00241A09">
              <w:rPr>
                <w:rFonts w:ascii="Arial Narrow" w:hAnsi="Arial Narrow"/>
                <w:sz w:val="22"/>
                <w:szCs w:val="24"/>
              </w:rPr>
              <w:t xml:space="preserve"> interne de analiz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aprobare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a propunerilor privind tematica programelor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de studii universitare de doctorat.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C54DC" w:rsidRDefault="00241A0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  <w:lang w:val="ro-RO"/>
              </w:rPr>
            </w:pPr>
          </w:p>
        </w:tc>
      </w:tr>
      <w:tr w:rsidR="000951F9" w:rsidRPr="0084085F" w:rsidTr="00914C9B">
        <w:trPr>
          <w:trHeight w:val="760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84085F" w:rsidRDefault="000951F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EC54DC" w:rsidRDefault="000951F9" w:rsidP="0095024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41A09">
              <w:rPr>
                <w:rFonts w:ascii="Arial Narrow" w:hAnsi="Arial Narrow"/>
                <w:sz w:val="22"/>
                <w:szCs w:val="24"/>
              </w:rPr>
              <w:t xml:space="preserve">A.1.1.2. Regulamentul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colii doctorale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include criterii, proceduri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i </w:t>
            </w:r>
            <w:r>
              <w:rPr>
                <w:rFonts w:ascii="Arial Narrow" w:hAnsi="Arial Narrow"/>
                <w:sz w:val="22"/>
                <w:szCs w:val="24"/>
              </w:rPr>
              <w:t>standard</w:t>
            </w:r>
            <w:r w:rsidR="0095024A">
              <w:rPr>
                <w:rFonts w:ascii="Arial Narrow" w:hAnsi="Arial Narrow"/>
                <w:sz w:val="22"/>
                <w:szCs w:val="24"/>
              </w:rPr>
              <w:t>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obligatorii pentru aspectele specificate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art. 17 alin. (5) </w:t>
            </w:r>
            <w:proofErr w:type="gramStart"/>
            <w:r>
              <w:rPr>
                <w:rFonts w:ascii="Arial Narrow" w:hAnsi="Arial Narrow"/>
                <w:sz w:val="22"/>
                <w:szCs w:val="24"/>
              </w:rPr>
              <w:t>din</w:t>
            </w:r>
            <w:proofErr w:type="gramEnd"/>
            <w:r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Pr="00241A09">
              <w:rPr>
                <w:rFonts w:ascii="Arial Narrow" w:hAnsi="Arial Narrow"/>
                <w:sz w:val="22"/>
                <w:szCs w:val="24"/>
              </w:rPr>
              <w:t>odul studiilor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universitare de doctorat, aprobat prin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Hotarârea Guvernului nr. 681/2011, cu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41A09">
              <w:rPr>
                <w:rFonts w:ascii="Arial Narrow" w:hAnsi="Arial Narrow"/>
                <w:sz w:val="22"/>
                <w:szCs w:val="24"/>
              </w:rPr>
              <w:t>modific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 xml:space="preserve">rile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241A09">
              <w:rPr>
                <w:rFonts w:ascii="Arial Narrow" w:hAnsi="Arial Narrow"/>
                <w:sz w:val="22"/>
                <w:szCs w:val="24"/>
              </w:rPr>
              <w:t>i complet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241A09">
              <w:rPr>
                <w:rFonts w:ascii="Arial Narrow" w:hAnsi="Arial Narrow"/>
                <w:sz w:val="22"/>
                <w:szCs w:val="24"/>
              </w:rPr>
              <w:t>rile ulterioare.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951F9" w:rsidRPr="00EC54DC" w:rsidRDefault="000951F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C4B3E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84085F" w:rsidRDefault="00241A09" w:rsidP="000951F9">
            <w:pPr>
              <w:ind w:left="39"/>
              <w:rPr>
                <w:rFonts w:ascii="Arial Narrow" w:hAnsi="Arial Narrow"/>
                <w:sz w:val="24"/>
                <w:szCs w:val="24"/>
              </w:rPr>
            </w:pPr>
            <w:r w:rsidRPr="0084085F">
              <w:rPr>
                <w:rFonts w:ascii="Arial Narrow" w:hAnsi="Arial Narrow"/>
                <w:sz w:val="22"/>
                <w:szCs w:val="24"/>
              </w:rPr>
              <w:t xml:space="preserve">A.1.2.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IOSUD dispune de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resursele logistice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necesare pentru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îndeplinirea misiunii</w:t>
            </w:r>
            <w:r w:rsidR="000951F9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951F9" w:rsidRPr="00241A09">
              <w:rPr>
                <w:rFonts w:ascii="Arial Narrow" w:hAnsi="Arial Narrow"/>
                <w:sz w:val="22"/>
                <w:szCs w:val="24"/>
              </w:rPr>
              <w:t>studiilor de doctorat.</w:t>
            </w: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41A09" w:rsidRPr="000951F9" w:rsidRDefault="000951F9" w:rsidP="0095024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 w:rsidRPr="000951F9">
              <w:rPr>
                <w:rFonts w:ascii="Arial Narrow" w:hAnsi="Arial Narrow"/>
                <w:sz w:val="22"/>
                <w:szCs w:val="24"/>
              </w:rPr>
              <w:t>A.1.2.1.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a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i eficacitatea unui </w:t>
            </w:r>
            <w:r>
              <w:rPr>
                <w:rFonts w:ascii="Arial Narrow" w:hAnsi="Arial Narrow"/>
                <w:sz w:val="22"/>
                <w:szCs w:val="24"/>
              </w:rPr>
              <w:t>s</w:t>
            </w:r>
            <w:r w:rsidR="0095024A">
              <w:rPr>
                <w:rFonts w:ascii="Arial Narrow" w:hAnsi="Arial Narrow"/>
                <w:sz w:val="22"/>
                <w:szCs w:val="24"/>
              </w:rPr>
              <w:t>i</w:t>
            </w:r>
            <w:r>
              <w:rPr>
                <w:rFonts w:ascii="Arial Narrow" w:hAnsi="Arial Narrow"/>
                <w:sz w:val="22"/>
                <w:szCs w:val="24"/>
              </w:rPr>
              <w:t xml:space="preserve">stem </w:t>
            </w:r>
            <w:r w:rsidRPr="000951F9">
              <w:rPr>
                <w:rFonts w:ascii="Arial Narrow" w:hAnsi="Arial Narrow"/>
                <w:sz w:val="22"/>
                <w:szCs w:val="24"/>
              </w:rPr>
              <w:t>informatic adecvat pentru eviden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>a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studen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ilor doctoranzi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>i a parcursului lor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academic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41A09" w:rsidRPr="00EC54DC" w:rsidRDefault="00241A0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951F9" w:rsidRPr="0084085F" w:rsidTr="00914C9B">
        <w:trPr>
          <w:trHeight w:val="522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84085F" w:rsidRDefault="000951F9" w:rsidP="00081F88">
            <w:pPr>
              <w:ind w:left="10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951F9" w:rsidRPr="00EC54DC" w:rsidRDefault="000951F9" w:rsidP="0095024A">
            <w:pPr>
              <w:autoSpaceDE w:val="0"/>
              <w:autoSpaceDN w:val="0"/>
              <w:adjustRightInd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951F9">
              <w:rPr>
                <w:rFonts w:ascii="Arial Narrow" w:hAnsi="Arial Narrow"/>
                <w:sz w:val="22"/>
                <w:szCs w:val="24"/>
              </w:rPr>
              <w:t>A.1.2.2. Existen</w:t>
            </w:r>
            <w:r w:rsidR="0095024A">
              <w:rPr>
                <w:rFonts w:ascii="Arial Narrow" w:hAnsi="Arial Narrow"/>
                <w:sz w:val="22"/>
                <w:szCs w:val="24"/>
              </w:rPr>
              <w:t>ț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a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>i utilizarea unui program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 xml:space="preserve">informatic </w:t>
            </w:r>
            <w:r w:rsidR="00C57982">
              <w:rPr>
                <w:rFonts w:ascii="Arial Narrow" w:hAnsi="Arial Narrow"/>
                <w:sz w:val="22"/>
                <w:szCs w:val="24"/>
              </w:rPr>
              <w:t xml:space="preserve">performant </w:t>
            </w:r>
            <w:r w:rsidR="0095024A">
              <w:rPr>
                <w:rFonts w:ascii="Arial Narrow" w:hAnsi="Arial Narrow"/>
                <w:sz w:val="22"/>
                <w:szCs w:val="24"/>
              </w:rPr>
              <w:t>ș</w:t>
            </w:r>
            <w:r w:rsidRPr="000951F9">
              <w:rPr>
                <w:rFonts w:ascii="Arial Narrow" w:hAnsi="Arial Narrow"/>
                <w:sz w:val="22"/>
                <w:szCs w:val="24"/>
              </w:rPr>
              <w:t>i dovezi ale utiliz</w:t>
            </w:r>
            <w:r w:rsidR="0095024A">
              <w:rPr>
                <w:rFonts w:ascii="Arial Narrow" w:hAnsi="Arial Narrow"/>
                <w:sz w:val="22"/>
                <w:szCs w:val="24"/>
              </w:rPr>
              <w:t>ă</w:t>
            </w:r>
            <w:r w:rsidRPr="000951F9">
              <w:rPr>
                <w:rFonts w:ascii="Arial Narrow" w:hAnsi="Arial Narrow"/>
                <w:sz w:val="22"/>
                <w:szCs w:val="24"/>
              </w:rPr>
              <w:t>rii sale pentru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verificarea procentului de similitudine în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0951F9">
              <w:rPr>
                <w:rFonts w:ascii="Arial Narrow" w:hAnsi="Arial Narrow"/>
                <w:sz w:val="22"/>
                <w:szCs w:val="24"/>
              </w:rPr>
              <w:t>toate tezele de doctorat</w:t>
            </w:r>
          </w:p>
        </w:tc>
        <w:tc>
          <w:tcPr>
            <w:tcW w:w="2965" w:type="dxa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951F9" w:rsidRPr="00EC54DC" w:rsidRDefault="000951F9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EAEAEA"/>
          </w:tcPr>
          <w:p w:rsidR="00241A09" w:rsidRPr="00EC54DC" w:rsidRDefault="005C4B3E" w:rsidP="005C4B3E">
            <w:pPr>
              <w:ind w:left="18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A</w:t>
            </w:r>
            <w:r w:rsidR="00241A09"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41A09"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Infrastructura de cercetare</w:t>
            </w:r>
          </w:p>
        </w:tc>
      </w:tr>
      <w:tr w:rsidR="00C57982" w:rsidRPr="0084085F" w:rsidTr="004C725D">
        <w:trPr>
          <w:trHeight w:val="417"/>
        </w:trPr>
        <w:tc>
          <w:tcPr>
            <w:tcW w:w="2591" w:type="dxa"/>
            <w:vMerge w:val="restart"/>
            <w:tcBorders>
              <w:top w:val="single" w:sz="8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84085F" w:rsidRDefault="00C57982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4F5CFC">
              <w:rPr>
                <w:rFonts w:ascii="Arial Narrow" w:hAnsi="Arial Narrow"/>
                <w:sz w:val="22"/>
                <w:szCs w:val="24"/>
              </w:rPr>
              <w:t>A.2.1. IOSUD/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Pr="004F5CFC">
              <w:rPr>
                <w:rFonts w:ascii="Arial Narrow" w:hAnsi="Arial Narrow"/>
                <w:sz w:val="22"/>
                <w:szCs w:val="24"/>
              </w:rPr>
              <w:t>colile doctorale de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 o infrastructur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modern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4F5CFC">
              <w:rPr>
                <w:rFonts w:ascii="Arial Narrow" w:hAnsi="Arial Narrow"/>
                <w:sz w:val="22"/>
                <w:szCs w:val="24"/>
              </w:rPr>
              <w:t xml:space="preserve"> de cercetare care sus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4F5CFC">
              <w:rPr>
                <w:rFonts w:ascii="Arial Narrow" w:hAnsi="Arial Narrow"/>
                <w:sz w:val="22"/>
                <w:szCs w:val="24"/>
              </w:rPr>
              <w:t>ine derularea activit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Pr="004F5CFC">
              <w:rPr>
                <w:rFonts w:ascii="Arial Narrow" w:hAnsi="Arial Narrow"/>
                <w:sz w:val="22"/>
                <w:szCs w:val="24"/>
              </w:rPr>
              <w:t>ilor specifice studiilor universitare de doctorat.</w:t>
            </w: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AF0480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A.2.1.1. IOSUD/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prezint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dovezi privind de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inerea sau închirierea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spa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iilor pentru activit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ile de cercetare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specifice programelor doctorale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(laboratoare, terenuri experimentale,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iuni de cercetare etc.).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6233C1" w:rsidRDefault="00C57982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C57982" w:rsidRPr="0084085F" w:rsidTr="004C725D">
        <w:trPr>
          <w:trHeight w:val="550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4F5CFC" w:rsidRDefault="00C57982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4F5CFC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A.2.1.2. IOSUD/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are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acorduri de colaborare încheiate cu institu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 înv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ăță</w:t>
            </w:r>
            <w:r w:rsidRPr="00AF0480">
              <w:rPr>
                <w:rFonts w:ascii="Arial Narrow" w:hAnsi="Arial Narrow"/>
                <w:sz w:val="22"/>
                <w:szCs w:val="24"/>
              </w:rPr>
              <w:t>mânt superior, cu institute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cercetare, cu re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ele de cercetare pentru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exploatarea în parteneriat a diverselor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infrastructuri de cercetare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î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prezint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public oferta de servicii de cercetare prin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intermediul unei platforme de profil.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6233C1" w:rsidRDefault="00C57982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C57982" w:rsidRPr="0084085F" w:rsidTr="004C725D">
        <w:trPr>
          <w:trHeight w:val="544"/>
        </w:trPr>
        <w:tc>
          <w:tcPr>
            <w:tcW w:w="2591" w:type="dxa"/>
            <w:vMerge/>
            <w:tcBorders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4F5CFC" w:rsidRDefault="00C57982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4F5CFC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A.2.1.3. IOSUD/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demonstreaz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este preocupat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înnoirea permanent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 infrastructurii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cercetare prin care se asigur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studen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ilor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doctoranzi accesul la resurse de cercetare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actuale, prin aplicarea în cadrul diverselor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competi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de finan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are a infrastructurii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cercetare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prin achizi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pentru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infrastructura de cercetare din veniturile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proprii ale IOSUD.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6233C1" w:rsidRDefault="00C57982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5C4B3E" w:rsidRPr="0084085F" w:rsidTr="00914C9B">
        <w:trPr>
          <w:trHeight w:val="323"/>
        </w:trPr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right w:val="single" w:sz="6" w:space="0" w:color="17365D"/>
            </w:tcBorders>
            <w:shd w:val="clear" w:color="auto" w:fill="EAEAEA"/>
          </w:tcPr>
          <w:p w:rsidR="005C4B3E" w:rsidRPr="006233C1" w:rsidRDefault="005C4B3E" w:rsidP="005C4B3E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EC54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Calitatea resursei umane</w:t>
            </w:r>
          </w:p>
        </w:tc>
      </w:tr>
      <w:tr w:rsidR="00EB32B9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84085F" w:rsidRDefault="00C57982" w:rsidP="0098361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587685">
              <w:rPr>
                <w:rFonts w:ascii="Arial Narrow" w:hAnsi="Arial Narrow"/>
                <w:sz w:val="22"/>
                <w:szCs w:val="24"/>
              </w:rPr>
              <w:t>A.3.1. La nivelul fiec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Pr="00587685">
              <w:rPr>
                <w:rFonts w:ascii="Arial Narrow" w:hAnsi="Arial Narrow"/>
                <w:sz w:val="22"/>
                <w:szCs w:val="24"/>
              </w:rPr>
              <w:t>rei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Pr="00587685">
              <w:rPr>
                <w:rFonts w:ascii="Arial Narrow" w:hAnsi="Arial Narrow"/>
                <w:sz w:val="22"/>
                <w:szCs w:val="24"/>
              </w:rPr>
              <w:t>coli doctorale exist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suficient personal calificat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astfel încât s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 fie asigurat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un proces educa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ț</w:t>
            </w:r>
            <w:r w:rsidRPr="00587685">
              <w:rPr>
                <w:rFonts w:ascii="Arial Narrow" w:hAnsi="Arial Narrow"/>
                <w:sz w:val="22"/>
                <w:szCs w:val="24"/>
              </w:rPr>
              <w:t>ional de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calitate.</w:t>
            </w: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EB32B9" w:rsidRPr="00AF0480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A.3.1.1. Ponderea conduc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torilor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doctorat care coordoneaz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concomitent mai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mult de 8 studen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 doctoranzi, dar nu mai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mult de 12, afla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 în perioada studiilor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universitare de doctorat [3 sau 4 ani, în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func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ie de domeniu, la care se adaug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perioadele de prelungire acordate conform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 xml:space="preserve">art. 39 alin. (3) </w:t>
            </w:r>
            <w:proofErr w:type="gramStart"/>
            <w:r w:rsidR="00587685" w:rsidRPr="00AF0480">
              <w:rPr>
                <w:rFonts w:ascii="Arial Narrow" w:hAnsi="Arial Narrow"/>
                <w:sz w:val="22"/>
                <w:szCs w:val="24"/>
              </w:rPr>
              <w:t>din</w:t>
            </w:r>
            <w:proofErr w:type="gramEnd"/>
            <w:r w:rsidR="00587685" w:rsidRPr="00AF0480"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Pr="00AF0480">
              <w:rPr>
                <w:rFonts w:ascii="Arial Narrow" w:hAnsi="Arial Narrow"/>
                <w:sz w:val="22"/>
                <w:szCs w:val="24"/>
              </w:rPr>
              <w:t>odul aprobat prin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Hot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rârea Guvernului nr. 681/2011, cu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modific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rile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complet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rile ulterioare], nu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dep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ăș</w:t>
            </w:r>
            <w:r w:rsidRPr="00AF0480">
              <w:rPr>
                <w:rFonts w:ascii="Arial Narrow" w:hAnsi="Arial Narrow"/>
                <w:sz w:val="22"/>
                <w:szCs w:val="24"/>
              </w:rPr>
              <w:t>e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te 20%.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EB32B9" w:rsidRPr="00AC7C96" w:rsidRDefault="00EB32B9" w:rsidP="00081F88">
            <w:pPr>
              <w:ind w:left="105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C57982" w:rsidRPr="0084085F" w:rsidTr="004C725D">
        <w:trPr>
          <w:trHeight w:val="1066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84085F" w:rsidRDefault="00C57982" w:rsidP="00081F88">
            <w:pPr>
              <w:ind w:left="10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EB32B9" w:rsidRDefault="00587685" w:rsidP="00EC26E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A.3.1.2. C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el pu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in 50% din totalul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activit</w:t>
            </w:r>
            <w:r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ilor didactice aferente unui program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de studii universitare de doctorat gestionat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de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 supus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 procesului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evaluare este livrat de cadre didactice/de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cercetare titulare ale IOSUD, cu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respectarea legisla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iei în vigoare cu privire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la gradul de înc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rcare a normei cu activit</w:t>
            </w:r>
            <w:r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didactice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 de cercetare. Prin calitatea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titular în cadrul IOSUD analizat se în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elege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acel conduc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tor de doctorat care are un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contract de munc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 cu norm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 întreag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 pe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perioad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 nedeterminat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 în institu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ia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înv</w:t>
            </w:r>
            <w:r w:rsidRPr="00AF0480">
              <w:rPr>
                <w:rFonts w:ascii="Arial Narrow" w:hAnsi="Arial Narrow"/>
                <w:sz w:val="22"/>
                <w:szCs w:val="24"/>
              </w:rPr>
              <w:t>ăță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mânt superior coordonatoare 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IOSUD sau în una dintre institu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iile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componente ale consor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iului care formeaz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IOSUD sau parteneriatele încheiate în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condi</w:t>
            </w:r>
            <w:r w:rsidRPr="00AF0480">
              <w:rPr>
                <w:rFonts w:ascii="Arial Narrow" w:hAnsi="Arial Narrow"/>
                <w:sz w:val="22"/>
                <w:szCs w:val="24"/>
              </w:rPr>
              <w:t>țiile art. 6 din C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odul aprobat prin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Hot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rârea Guvernului nr. 681/2011, cu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modific</w:t>
            </w:r>
            <w:r w:rsidR="00EC26E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 xml:space="preserve">rile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i complet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AF0480">
              <w:rPr>
                <w:rFonts w:ascii="Arial Narrow" w:hAnsi="Arial Narrow"/>
                <w:sz w:val="22"/>
                <w:szCs w:val="24"/>
              </w:rPr>
              <w:t>rile ulterioare.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AC7C96" w:rsidRDefault="00C57982" w:rsidP="00081F88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DAEDF3"/>
          </w:tcPr>
          <w:p w:rsidR="00241A09" w:rsidRPr="00EB32B9" w:rsidRDefault="00EB32B9" w:rsidP="00172735">
            <w:pPr>
              <w:ind w:left="3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2B9">
              <w:rPr>
                <w:rFonts w:ascii="Arial Narrow" w:hAnsi="Arial Narrow"/>
                <w:b/>
                <w:sz w:val="22"/>
                <w:szCs w:val="22"/>
              </w:rPr>
              <w:t>B: EFICACITATEA EDUCAȚIONALĂ</w:t>
            </w:r>
          </w:p>
        </w:tc>
      </w:tr>
      <w:tr w:rsidR="00EB32B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EAEAEA"/>
          </w:tcPr>
          <w:p w:rsidR="00EB32B9" w:rsidRPr="00EC54DC" w:rsidRDefault="00EB32B9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1EE8">
              <w:rPr>
                <w:rFonts w:ascii="Arial Narrow" w:hAnsi="Arial Narrow"/>
                <w:b/>
                <w:sz w:val="22"/>
                <w:szCs w:val="22"/>
              </w:rPr>
              <w:t>B.1. Num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ă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rul,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 xml:space="preserve">calitatea 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ș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diversitatea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candida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ț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ilor care s-au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prezentat la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concursul de</w:t>
            </w:r>
            <w:r w:rsidR="00AF1EE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admitere</w:t>
            </w:r>
          </w:p>
        </w:tc>
      </w:tr>
      <w:tr w:rsidR="00C57982" w:rsidRPr="0084085F" w:rsidTr="004C725D">
        <w:trPr>
          <w:trHeight w:val="581"/>
        </w:trPr>
        <w:tc>
          <w:tcPr>
            <w:tcW w:w="2591" w:type="dxa"/>
            <w:vMerge w:val="restart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AF1EE8" w:rsidRDefault="0098361E" w:rsidP="0098361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587685">
              <w:rPr>
                <w:rFonts w:ascii="Arial Narrow" w:hAnsi="Arial Narrow"/>
                <w:sz w:val="22"/>
                <w:szCs w:val="24"/>
              </w:rPr>
              <w:t>B.1.1. C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andida</w:t>
            </w:r>
            <w:r w:rsidRPr="00587685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ii admi</w:t>
            </w:r>
            <w:r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i la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studiile de doctorat sunt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de cea mai înalt</w:t>
            </w:r>
            <w:r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 xml:space="preserve"> calitate,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sunt diversifica</w:t>
            </w:r>
            <w:r w:rsidRPr="00587685">
              <w:rPr>
                <w:rFonts w:ascii="Arial Narrow" w:hAnsi="Arial Narrow"/>
                <w:sz w:val="22"/>
                <w:szCs w:val="24"/>
              </w:rPr>
              <w:t>ț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i ca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 xml:space="preserve">reprezentare de gen </w:t>
            </w:r>
            <w:r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i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social</w:t>
            </w:r>
            <w:r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="00C57982" w:rsidRPr="00587685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AF0480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B.1.1.1. Admiterea la programele de studii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 doctorat se face în baza unor criterii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selec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ie care includ: performan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profesional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anterioar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 candida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ilor, un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interes al acestora pentru cercetarea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ific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sau artistic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/sportiv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, publica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în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domeniu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o propunere de tem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cercetare. Un interviu cu solicitantul este o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parte obligatorie a procedurii de admitere.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EC54DC" w:rsidRDefault="00C57982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982" w:rsidRPr="0084085F" w:rsidTr="004C725D">
        <w:trPr>
          <w:trHeight w:val="547"/>
        </w:trPr>
        <w:tc>
          <w:tcPr>
            <w:tcW w:w="2591" w:type="dxa"/>
            <w:vMerge/>
            <w:tcBorders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Default="00C57982" w:rsidP="00C5798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AF1EE8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B.1.1.2. IOSUD/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are o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politic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 stimulare a înmatricul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studen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ilor doctoranzi proveni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 din medii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sociale dezavantajate, prin alocarea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locuri speciale la admitere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i/sau acordarea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unor burse sociale sau organizarea unor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programe de sprijin care s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previn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abandonul universitar.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EC54DC" w:rsidRDefault="00C57982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EAEAEA"/>
          </w:tcPr>
          <w:p w:rsidR="00241A09" w:rsidRPr="00EC54DC" w:rsidRDefault="00AF1EE8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1EE8">
              <w:rPr>
                <w:rFonts w:ascii="Arial Narrow" w:hAnsi="Arial Narrow"/>
                <w:b/>
                <w:sz w:val="22"/>
                <w:szCs w:val="22"/>
              </w:rPr>
              <w:t>B.2. Con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ț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inutul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programelor de studii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universitare de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F1EE8">
              <w:rPr>
                <w:rFonts w:ascii="Arial Narrow" w:hAnsi="Arial Narrow"/>
                <w:b/>
                <w:sz w:val="22"/>
                <w:szCs w:val="22"/>
              </w:rPr>
              <w:t>doctorat</w:t>
            </w:r>
          </w:p>
        </w:tc>
      </w:tr>
      <w:tr w:rsidR="00AF1EE8" w:rsidRPr="0084085F" w:rsidTr="00914C9B">
        <w:tc>
          <w:tcPr>
            <w:tcW w:w="2591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C57982" w:rsidP="0098361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587685">
              <w:rPr>
                <w:rFonts w:ascii="Arial Narrow" w:hAnsi="Arial Narrow"/>
                <w:sz w:val="22"/>
                <w:szCs w:val="24"/>
              </w:rPr>
              <w:t>B.2.1. Programul de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preg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Pr="00587685">
              <w:rPr>
                <w:rFonts w:ascii="Arial Narrow" w:hAnsi="Arial Narrow"/>
                <w:sz w:val="22"/>
                <w:szCs w:val="24"/>
              </w:rPr>
              <w:t>tire bazat pe studii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universitare avansate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este adecvat pentru </w:t>
            </w:r>
            <w:proofErr w:type="gramStart"/>
            <w:r w:rsidRPr="00587685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îmbun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Pr="00587685">
              <w:rPr>
                <w:rFonts w:ascii="Arial Narrow" w:hAnsi="Arial Narrow"/>
                <w:sz w:val="22"/>
                <w:szCs w:val="24"/>
              </w:rPr>
              <w:t>t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ăț</w:t>
            </w:r>
            <w:r w:rsidRPr="00587685">
              <w:rPr>
                <w:rFonts w:ascii="Arial Narrow" w:hAnsi="Arial Narrow"/>
                <w:sz w:val="22"/>
                <w:szCs w:val="24"/>
              </w:rPr>
              <w:t>i competen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ț</w:t>
            </w:r>
            <w:r w:rsidRPr="00587685">
              <w:rPr>
                <w:rFonts w:ascii="Arial Narrow" w:hAnsi="Arial Narrow"/>
                <w:sz w:val="22"/>
                <w:szCs w:val="24"/>
              </w:rPr>
              <w:t>ele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de cercetare ale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doctoranzilor 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Pr="00587685">
              <w:rPr>
                <w:rFonts w:ascii="Arial Narrow" w:hAnsi="Arial Narrow"/>
                <w:sz w:val="22"/>
                <w:szCs w:val="24"/>
              </w:rPr>
              <w:t>i pentru a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înt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Pr="00587685">
              <w:rPr>
                <w:rFonts w:ascii="Arial Narrow" w:hAnsi="Arial Narrow"/>
                <w:sz w:val="22"/>
                <w:szCs w:val="24"/>
              </w:rPr>
              <w:t>ri comportamentul etic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în 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Pr="00587685">
              <w:rPr>
                <w:rFonts w:ascii="Arial Narrow" w:hAnsi="Arial Narrow"/>
                <w:sz w:val="22"/>
                <w:szCs w:val="24"/>
              </w:rPr>
              <w:t>tiint</w:t>
            </w:r>
            <w:r w:rsidR="0098361E"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Pr="00587685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0480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B.2.1.1. Programul de preg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tire bazat pe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studii universitare avansate cuprinde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minimum trei discipline relevante pentru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preg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tirea în cercetarea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ific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doctoranzilor, dintre care cel pu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 o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disciplin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este destinat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studiului aprofundat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al metodologiei cercet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rii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i/sau prelucr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statistice a datelor.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EE8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0480" w:rsidRDefault="00C57982" w:rsidP="0058768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B.2.1.2. Exist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cel pu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 o disciplin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dedicat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eticii în cercetarea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ific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propriet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intelectuale sau tematici bine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delimitate pe aceste subiecte în cadrul unei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discipline predate în programul doctoral.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426574" w:rsidRDefault="00AF1EE8" w:rsidP="00081F88">
            <w:pPr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AF1EE8" w:rsidRPr="0084085F" w:rsidTr="00914C9B"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AF1EE8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AF1EE8" w:rsidRDefault="00C57982" w:rsidP="00EC26E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B.2.1.3. IOSUD are create mecanismele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prin care se asigur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programul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preg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tire bazat pe studii universitare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avansate, aferent domeniului evaluat,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vizeaz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"rezultatele înv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ăță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rii", precizând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cuno</w:t>
            </w:r>
            <w:r w:rsidR="00EC26E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ele, abilit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ile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responsabilitatea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autonomia pe care studen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doctoranzi ar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trebui s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le dobândeasc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dup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parcurgerea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fiec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rei discipline sau prin activit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ile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cercetare.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F1EE8" w:rsidRPr="00EC54DC" w:rsidRDefault="00AF1EE8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7982" w:rsidRPr="0084085F" w:rsidTr="004C725D">
        <w:trPr>
          <w:trHeight w:val="452"/>
        </w:trPr>
        <w:tc>
          <w:tcPr>
            <w:tcW w:w="2591" w:type="dxa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AF1EE8" w:rsidRDefault="00C57982" w:rsidP="00081F88">
            <w:pPr>
              <w:ind w:left="104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AF1EE8" w:rsidRDefault="00C57982" w:rsidP="00EC26E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B.2.1.4. IOSUD trebuie s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demonstreze 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dispune de mecanisme de analiz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con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inutului programelor de studii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lastRenderedPageBreak/>
              <w:t>universitare de doctorat prin care s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se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asigure 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acestea corespund nivelului 8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calificare conform C</w:t>
            </w:r>
            <w:r w:rsidRPr="00AF0480">
              <w:rPr>
                <w:rFonts w:ascii="Arial Narrow" w:hAnsi="Arial Narrow"/>
                <w:sz w:val="22"/>
                <w:szCs w:val="24"/>
              </w:rPr>
              <w:t>adrului national al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calific</w:t>
            </w:r>
            <w:r w:rsidR="00EC26E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rilor.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EC54DC" w:rsidRDefault="00C57982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1F88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EAEAEA"/>
          </w:tcPr>
          <w:p w:rsidR="00081F88" w:rsidRPr="00081F88" w:rsidRDefault="00081F88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lastRenderedPageBreak/>
              <w:t xml:space="preserve">B.3. Rezultatele studiilor doctorale 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ș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i proceduri </w:t>
            </w:r>
            <w:proofErr w:type="gramStart"/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de evaluare</w:t>
            </w:r>
            <w:proofErr w:type="gramEnd"/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a acestora</w:t>
            </w:r>
          </w:p>
        </w:tc>
      </w:tr>
      <w:tr w:rsidR="00C57982" w:rsidRPr="0084085F" w:rsidTr="00A102E5">
        <w:trPr>
          <w:trHeight w:val="697"/>
        </w:trPr>
        <w:tc>
          <w:tcPr>
            <w:tcW w:w="2591" w:type="dxa"/>
            <w:tcBorders>
              <w:top w:val="single" w:sz="8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AF1EE8" w:rsidRDefault="00C57982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B.3.1. Cercetarea este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valorificat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de 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 doctoranzi prin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prezent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 la conferin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e</w:t>
            </w:r>
            <w:r>
              <w:rPr>
                <w:rFonts w:ascii="Arial Narrow" w:hAnsi="Arial Narrow"/>
                <w:sz w:val="22"/>
                <w:szCs w:val="24"/>
              </w:rPr>
              <w:t xml:space="preserve"> 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ifice, publica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</w:t>
            </w:r>
            <w:r>
              <w:rPr>
                <w:rFonts w:ascii="Arial Narrow" w:hAnsi="Arial Narrow"/>
                <w:sz w:val="22"/>
                <w:szCs w:val="24"/>
              </w:rPr>
              <w:t xml:space="preserve"> 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ifice, prin transfer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tehnologic, patente,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produse, comenzi de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servicii.</w:t>
            </w: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C57982" w:rsidRPr="002C44A0" w:rsidRDefault="00C57982" w:rsidP="00EC26E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 xml:space="preserve">B.3.1.1. În cadrul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colii doctorale exist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ini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iative pentru valorificarea rezultatelor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studiilor doctorale în acord cu specificul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domeniului (de exemplu, transfer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tehnologic, produse, patente în cazul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elor exacte; produse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servicii în cazul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elor sociale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umaniste; festivaluri,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concursuri, recitaluri, competi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sportive;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comenzi cultural-artistice în domeniul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voca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ional; prezent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 la conferin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na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ionale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interna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ionale, publicarea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rezultatelor unor cercet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 în publica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na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ionale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interna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ionale, implicarea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studen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ilor</w:t>
            </w:r>
            <w:r w:rsidR="00EC26E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doctoranzi în elaborarea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proiectelor de cercetare-dezvoltare etc.).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C57982" w:rsidRPr="00EC54DC" w:rsidRDefault="00C57982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189D" w:rsidRPr="0084085F" w:rsidTr="0027189D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EAEAEA"/>
          </w:tcPr>
          <w:p w:rsidR="0027189D" w:rsidRPr="00EC54DC" w:rsidRDefault="0027189D" w:rsidP="00271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B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4</w:t>
            </w:r>
            <w:r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Calitatea tezelor de doctorat finalizate</w:t>
            </w:r>
          </w:p>
        </w:tc>
      </w:tr>
      <w:tr w:rsidR="0027189D" w:rsidRPr="0084085F" w:rsidTr="00914C9B">
        <w:tc>
          <w:tcPr>
            <w:tcW w:w="2591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AF1EE8" w:rsidRDefault="00A102E5" w:rsidP="004C72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587685">
              <w:rPr>
                <w:rFonts w:ascii="Arial Narrow" w:hAnsi="Arial Narrow"/>
                <w:sz w:val="22"/>
                <w:szCs w:val="24"/>
              </w:rPr>
              <w:t>B.4.1. Tezele de doctorat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finalizate îndeplinesc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standarde ridicate de</w:t>
            </w:r>
            <w:r w:rsidR="004C725D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calitate.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2C44A0" w:rsidRDefault="00A102E5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B.4.1.1. La nivelul de IOSUD, procentul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teze invalidate, f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drept de refacere 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reluarea procesului de sus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inere public</w:t>
            </w:r>
            <w:r w:rsidR="00587685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, la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nivelul Consiliului general CNATDCU este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 cel mult 5% în ultimii cinci ani.</w:t>
            </w:r>
          </w:p>
        </w:tc>
        <w:tc>
          <w:tcPr>
            <w:tcW w:w="297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EC54DC" w:rsidRDefault="0027189D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DAEDF3"/>
          </w:tcPr>
          <w:p w:rsidR="00241A09" w:rsidRPr="00EC54DC" w:rsidRDefault="00241A09" w:rsidP="00081F88">
            <w:pPr>
              <w:ind w:left="39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EC54DC">
              <w:rPr>
                <w:rFonts w:ascii="Arial Narrow" w:hAnsi="Arial Narrow"/>
                <w:b/>
                <w:sz w:val="22"/>
                <w:szCs w:val="22"/>
                <w:lang w:val="fr-FR"/>
              </w:rPr>
              <w:t>C. MANAGEMENTUL CALITĂȚII</w:t>
            </w: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EAEAEA"/>
          </w:tcPr>
          <w:p w:rsidR="00241A09" w:rsidRPr="00EC54DC" w:rsidRDefault="0027189D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FR"/>
              </w:rPr>
              <w:t>C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.1. Existen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ț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a 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ș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i</w:t>
            </w:r>
            <w:r w:rsid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derularea periodic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ă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a</w:t>
            </w:r>
            <w:r w:rsid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sistemului de</w:t>
            </w:r>
            <w:r w:rsid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asigurare intern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ă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a</w:t>
            </w:r>
            <w:proofErr w:type="gramEnd"/>
            <w:r w:rsid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calit</w:t>
            </w:r>
            <w:r w:rsidR="00F77517">
              <w:rPr>
                <w:rFonts w:ascii="Arial Narrow" w:hAnsi="Arial Narrow"/>
                <w:b/>
                <w:sz w:val="22"/>
                <w:szCs w:val="22"/>
                <w:lang w:val="fr-FR"/>
              </w:rPr>
              <w:t>ăț</w:t>
            </w:r>
            <w:r w:rsidR="00081F88" w:rsidRPr="00081F88">
              <w:rPr>
                <w:rFonts w:ascii="Arial Narrow" w:hAnsi="Arial Narrow"/>
                <w:b/>
                <w:sz w:val="22"/>
                <w:szCs w:val="22"/>
                <w:lang w:val="fr-FR"/>
              </w:rPr>
              <w:t>ii</w:t>
            </w:r>
          </w:p>
        </w:tc>
      </w:tr>
      <w:tr w:rsidR="00A102E5" w:rsidRPr="0084085F" w:rsidTr="00914C9B">
        <w:tc>
          <w:tcPr>
            <w:tcW w:w="2591" w:type="dxa"/>
            <w:vMerge w:val="restart"/>
            <w:tcBorders>
              <w:top w:val="single" w:sz="8" w:space="0" w:color="17365D"/>
              <w:left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2C44A0" w:rsidRDefault="00A102E5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Pr="002C44A0">
              <w:rPr>
                <w:rFonts w:ascii="Arial Narrow" w:hAnsi="Arial Narrow"/>
                <w:sz w:val="22"/>
                <w:szCs w:val="24"/>
              </w:rPr>
              <w:t>.1.1. Exist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cadrul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institu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ional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se aplic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o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procedur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pentru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monitorizarea asigur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interne a calit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Pr="002C44A0">
              <w:rPr>
                <w:rFonts w:ascii="Arial Narrow" w:hAnsi="Arial Narrow"/>
                <w:sz w:val="22"/>
                <w:szCs w:val="24"/>
              </w:rPr>
              <w:t>ii, precum</w:t>
            </w:r>
            <w:r>
              <w:rPr>
                <w:rFonts w:ascii="Arial Narrow" w:hAnsi="Arial Narrow"/>
                <w:sz w:val="22"/>
                <w:szCs w:val="24"/>
              </w:rPr>
              <w:t xml:space="preserve"> ș</w:t>
            </w:r>
            <w:r w:rsidRPr="002C44A0">
              <w:rPr>
                <w:rFonts w:ascii="Arial Narrow" w:hAnsi="Arial Narrow"/>
                <w:sz w:val="22"/>
                <w:szCs w:val="24"/>
              </w:rPr>
              <w:t>i politici de asigurare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intern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 calit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Pr="002C44A0">
              <w:rPr>
                <w:rFonts w:ascii="Arial Narrow" w:hAnsi="Arial Narrow"/>
                <w:sz w:val="22"/>
                <w:szCs w:val="24"/>
              </w:rPr>
              <w:t>ii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relevante.</w:t>
            </w:r>
          </w:p>
        </w:tc>
        <w:tc>
          <w:tcPr>
            <w:tcW w:w="9922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4C725D" w:rsidRPr="00AF0480" w:rsidRDefault="00DE182A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.1.1.1. IOSUD a dezvoltat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aplic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periodic o procedur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de evaluare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monitorizare intern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a evolu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iei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colilor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doctorale, între criteriile evaluate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reg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sindu-se obligatoriu: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</w:p>
          <w:p w:rsidR="00A102E5" w:rsidRPr="00AF0480" w:rsidRDefault="00A102E5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 xml:space="preserve">a) activitatea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ific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 conduc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torilor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doctorat;</w:t>
            </w:r>
          </w:p>
          <w:p w:rsidR="00A102E5" w:rsidRPr="00AF0480" w:rsidRDefault="00A102E5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 xml:space="preserve">b) infrastructura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logistica necesare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desf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ăș</w:t>
            </w:r>
            <w:r w:rsidRPr="00AF0480">
              <w:rPr>
                <w:rFonts w:ascii="Arial Narrow" w:hAnsi="Arial Narrow"/>
                <w:sz w:val="22"/>
                <w:szCs w:val="24"/>
              </w:rPr>
              <w:t>ur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 activit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de cercetare;</w:t>
            </w:r>
          </w:p>
          <w:p w:rsidR="00A102E5" w:rsidRPr="00AF0480" w:rsidRDefault="00A102E5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 xml:space="preserve">c) </w:t>
            </w:r>
            <w:proofErr w:type="gramStart"/>
            <w:r w:rsidRPr="00AF0480">
              <w:rPr>
                <w:rFonts w:ascii="Arial Narrow" w:hAnsi="Arial Narrow"/>
                <w:sz w:val="22"/>
                <w:szCs w:val="24"/>
              </w:rPr>
              <w:t>procedurile</w:t>
            </w:r>
            <w:proofErr w:type="gramEnd"/>
            <w:r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normele subsecvente pe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baza c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rora se organizeaz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studiile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doctorale.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6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0773BF" w:rsidRDefault="00A102E5" w:rsidP="00081F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2E5" w:rsidRPr="0084085F" w:rsidTr="0098361E">
        <w:tc>
          <w:tcPr>
            <w:tcW w:w="2591" w:type="dxa"/>
            <w:vMerge/>
            <w:tcBorders>
              <w:left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2C44A0" w:rsidRDefault="00A102E5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AF0480" w:rsidRDefault="00DE182A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.1.1.2. Asocia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iile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ti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i/sau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 reprezentan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organizeaz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alegeri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în rândul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ilor doctoranzi, pentru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pozi</w:t>
            </w:r>
            <w:r w:rsidRPr="00AF0480">
              <w:rPr>
                <w:rFonts w:ascii="Arial Narrow" w:hAnsi="Arial Narrow"/>
                <w:sz w:val="22"/>
                <w:szCs w:val="24"/>
              </w:rPr>
              <w:t>ții în 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SUD, prin vot universal, direct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secret, to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 doctoranzi având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dreptul s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aleag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s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fie ale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0773BF" w:rsidRDefault="00A102E5" w:rsidP="00081F88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A102E5" w:rsidRPr="0084085F" w:rsidTr="0098361E">
        <w:tc>
          <w:tcPr>
            <w:tcW w:w="2591" w:type="dxa"/>
            <w:vMerge/>
            <w:tcBorders>
              <w:left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2C44A0" w:rsidRDefault="00A102E5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AF0480" w:rsidRDefault="00DE182A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.1.1.3. Asocia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iile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ti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i/sau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 reprezentan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organizeaz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alegeri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în rândul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ilor doctoranzi, la nivelul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fiec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rei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coli doctorale, pentru pozi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 în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consiliile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colilor doctorale, prin vot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universal, direct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secret, to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doctoranzi având dreptul s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aleag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s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fie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ale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0773BF" w:rsidRDefault="00A102E5" w:rsidP="00081F88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A102E5" w:rsidRPr="0084085F" w:rsidTr="0098361E">
        <w:tc>
          <w:tcPr>
            <w:tcW w:w="2591" w:type="dxa"/>
            <w:vMerge/>
            <w:tcBorders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2C44A0" w:rsidRDefault="00A102E5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Default="00DE182A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.1.1.4. În urma evalu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rii interne, atât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IOSUD, cât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colile doctorale elaboreaz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strategii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politici de ac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iune în vederea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remedierii deficien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elor semnalate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stimul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rii performan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ei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ifice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academice </w:t>
            </w:r>
            <w:proofErr w:type="gramStart"/>
            <w:r w:rsidR="00A102E5" w:rsidRPr="00AF0480">
              <w:rPr>
                <w:rFonts w:ascii="Arial Narrow" w:hAnsi="Arial Narrow"/>
                <w:sz w:val="22"/>
                <w:szCs w:val="24"/>
              </w:rPr>
              <w:t>a</w:t>
            </w:r>
            <w:proofErr w:type="gramEnd"/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IOSUD.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0773BF" w:rsidRDefault="00A102E5" w:rsidP="00081F88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single" w:sz="8" w:space="0" w:color="17365D"/>
              <w:right w:val="single" w:sz="6" w:space="0" w:color="17365D"/>
            </w:tcBorders>
            <w:shd w:val="clear" w:color="auto" w:fill="EAEAEA"/>
          </w:tcPr>
          <w:p w:rsidR="00241A09" w:rsidRPr="00EC54DC" w:rsidRDefault="00F77517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C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.2. Transparen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ț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informa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ț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iilor 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ș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accesibilitate la</w:t>
            </w:r>
            <w:r w:rsid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resursele de înv</w:t>
            </w:r>
            <w:r>
              <w:rPr>
                <w:rFonts w:ascii="Arial Narrow" w:hAnsi="Arial Narrow"/>
                <w:b/>
                <w:spacing w:val="-1"/>
                <w:sz w:val="22"/>
                <w:szCs w:val="22"/>
              </w:rPr>
              <w:t>ăț</w:t>
            </w:r>
            <w:r w:rsidR="00081F88" w:rsidRPr="00081F88">
              <w:rPr>
                <w:rFonts w:ascii="Arial Narrow" w:hAnsi="Arial Narrow"/>
                <w:b/>
                <w:spacing w:val="-1"/>
                <w:sz w:val="22"/>
                <w:szCs w:val="22"/>
              </w:rPr>
              <w:t>are</w:t>
            </w:r>
          </w:p>
        </w:tc>
      </w:tr>
      <w:tr w:rsidR="00081F88" w:rsidRPr="0084085F" w:rsidTr="00914C9B">
        <w:trPr>
          <w:trHeight w:val="842"/>
        </w:trPr>
        <w:tc>
          <w:tcPr>
            <w:tcW w:w="2591" w:type="dxa"/>
            <w:tcBorders>
              <w:top w:val="single" w:sz="8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F77517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.2.1. Informa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iile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interes pentru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doctoranzi, viitorii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candida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i, </w:t>
            </w:r>
            <w:r>
              <w:rPr>
                <w:rFonts w:ascii="Arial Narrow" w:hAnsi="Arial Narrow"/>
                <w:sz w:val="22"/>
                <w:szCs w:val="24"/>
              </w:rPr>
              <w:t>respectiv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informa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iile de interes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public sunt disponibile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spre consultare în format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electronic.</w:t>
            </w:r>
          </w:p>
        </w:tc>
        <w:tc>
          <w:tcPr>
            <w:tcW w:w="9922" w:type="dxa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.2.1.1.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coala doctoral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, prin intermediul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IOSUD, public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pe website-ul institu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iei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organizatoare, cu respectarea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reglement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rilor generale cu privire la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protec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ia datelor, informa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 precum: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a) regulamentul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colii doctorale;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b) regulamentul de admitere;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c) contractul de studii doctorale;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d) regulamentul de finalizare a studiilor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care s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includ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procedura de 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inere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public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 tezei;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e) con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inutul programelor de studii;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f) profilul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tiin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ific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ariile tematice/temele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 cercetare ale conduc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torilor de doctorat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din </w:t>
            </w:r>
            <w:r w:rsidR="00946F4C">
              <w:rPr>
                <w:rFonts w:ascii="Arial Narrow" w:hAnsi="Arial Narrow"/>
                <w:sz w:val="22"/>
                <w:szCs w:val="24"/>
              </w:rPr>
              <w:t>școală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, precum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date institu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ionale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de contact ale acestora;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 xml:space="preserve">g) lista doctoranzilor din </w:t>
            </w:r>
            <w:r w:rsidR="00946F4C">
              <w:rPr>
                <w:rFonts w:ascii="Arial Narrow" w:hAnsi="Arial Narrow"/>
                <w:sz w:val="22"/>
                <w:szCs w:val="24"/>
              </w:rPr>
              <w:t>școală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cu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informa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iile de baz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(anul înmatricul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rii;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conduc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tor);</w:t>
            </w:r>
          </w:p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h) informa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ii despre standardele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elaborare a tezei de doctorat;</w:t>
            </w:r>
          </w:p>
          <w:p w:rsidR="00081F88" w:rsidRPr="002C44A0" w:rsidRDefault="00081F88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2C44A0">
              <w:rPr>
                <w:rFonts w:ascii="Arial Narrow" w:hAnsi="Arial Narrow"/>
                <w:sz w:val="22"/>
                <w:szCs w:val="24"/>
              </w:rPr>
              <w:t>i) linkuri c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>tre rezumatele tezelor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doctorat care urmeaz</w:t>
            </w:r>
            <w:r w:rsidR="000B3730">
              <w:rPr>
                <w:rFonts w:ascii="Arial Narrow" w:hAnsi="Arial Narrow"/>
                <w:sz w:val="22"/>
                <w:szCs w:val="24"/>
              </w:rPr>
              <w:t>ă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 a fi 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inute public,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 xml:space="preserve">precum </w:t>
            </w:r>
            <w:r w:rsidR="000B3730">
              <w:rPr>
                <w:rFonts w:ascii="Arial Narrow" w:hAnsi="Arial Narrow"/>
                <w:sz w:val="22"/>
                <w:szCs w:val="24"/>
              </w:rPr>
              <w:t>ș</w:t>
            </w:r>
            <w:r w:rsidRPr="002C44A0">
              <w:rPr>
                <w:rFonts w:ascii="Arial Narrow" w:hAnsi="Arial Narrow"/>
                <w:sz w:val="22"/>
                <w:szCs w:val="24"/>
              </w:rPr>
              <w:t>i data, ora, locul unde vor fi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inute acestea, cu cel pu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 20 de zile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2C44A0">
              <w:rPr>
                <w:rFonts w:ascii="Arial Narrow" w:hAnsi="Arial Narrow"/>
                <w:sz w:val="22"/>
                <w:szCs w:val="24"/>
              </w:rPr>
              <w:t>înaintea sus</w:t>
            </w:r>
            <w:r w:rsidR="000B3730">
              <w:rPr>
                <w:rFonts w:ascii="Arial Narrow" w:hAnsi="Arial Narrow"/>
                <w:sz w:val="22"/>
                <w:szCs w:val="24"/>
              </w:rPr>
              <w:t>ț</w:t>
            </w:r>
            <w:r w:rsidRPr="002C44A0">
              <w:rPr>
                <w:rFonts w:ascii="Arial Narrow" w:hAnsi="Arial Narrow"/>
                <w:sz w:val="22"/>
                <w:szCs w:val="24"/>
              </w:rPr>
              <w:t>inerii.</w:t>
            </w:r>
          </w:p>
        </w:tc>
        <w:tc>
          <w:tcPr>
            <w:tcW w:w="2977" w:type="dxa"/>
            <w:gridSpan w:val="2"/>
            <w:tcBorders>
              <w:top w:val="single" w:sz="8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81F88" w:rsidRPr="0084085F" w:rsidTr="00914C9B">
        <w:trPr>
          <w:trHeight w:val="519"/>
        </w:trPr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F77517" w:rsidP="00F7751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lastRenderedPageBreak/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 IOSUD/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coala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doctoral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asigur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ilor doctoranzi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acces la resursele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necesare derul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rii</w:t>
            </w:r>
            <w:r w:rsidR="00CE2971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studiilor doctorale.</w:t>
            </w: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.2.2.1. To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 doctoranzi au acces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gratuit la </w:t>
            </w:r>
            <w:r w:rsidR="00946F4C">
              <w:rPr>
                <w:rFonts w:ascii="Arial Narrow" w:hAnsi="Arial Narrow"/>
                <w:sz w:val="22"/>
                <w:szCs w:val="24"/>
              </w:rPr>
              <w:t xml:space="preserve">cel puțin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o platform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cu baze de date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academice relevante pentru domeniile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studiilor de doctorat organizate.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81F88" w:rsidRPr="0084085F" w:rsidTr="00914C9B">
        <w:trPr>
          <w:trHeight w:val="541"/>
        </w:trPr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0B373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.2.2.2. Fiecare student doctorand are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acces, la cerere, la un sistem electronic de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verificare a gradului de similitudine cu alte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crea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ii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ifice sau artistice existente.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081F88" w:rsidRPr="0084085F" w:rsidTr="00914C9B">
        <w:trPr>
          <w:trHeight w:val="563"/>
        </w:trPr>
        <w:tc>
          <w:tcPr>
            <w:tcW w:w="2591" w:type="dxa"/>
            <w:vMerge/>
            <w:tcBorders>
              <w:left w:val="single" w:sz="6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81F88" w:rsidP="00081F8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</w:tcPr>
          <w:p w:rsidR="00081F88" w:rsidRPr="002C44A0" w:rsidRDefault="000B3730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.2.2.3. To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studen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ii doctoranzi au acces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la laboratoarele de cercetare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tiin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ific</w:t>
            </w:r>
            <w:r>
              <w:rPr>
                <w:rFonts w:ascii="Arial Narrow" w:hAnsi="Arial Narrow"/>
                <w:sz w:val="22"/>
                <w:szCs w:val="24"/>
              </w:rPr>
              <w:t>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 sau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alte facilit</w:t>
            </w:r>
            <w:r>
              <w:rPr>
                <w:rFonts w:ascii="Arial Narrow" w:hAnsi="Arial Narrow"/>
                <w:sz w:val="22"/>
                <w:szCs w:val="24"/>
              </w:rPr>
              <w:t>ăț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 în func</w:t>
            </w:r>
            <w:r>
              <w:rPr>
                <w:rFonts w:ascii="Arial Narrow" w:hAnsi="Arial Narrow"/>
                <w:sz w:val="22"/>
                <w:szCs w:val="24"/>
              </w:rPr>
              <w:t>ț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ie de specificul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domeniului/domeniilor din cadrul </w:t>
            </w:r>
            <w:r>
              <w:rPr>
                <w:rFonts w:ascii="Arial Narrow" w:hAnsi="Arial Narrow"/>
                <w:sz w:val="22"/>
                <w:szCs w:val="24"/>
              </w:rPr>
              <w:t>ș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colii</w:t>
            </w:r>
            <w:r w:rsidR="002C44A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 xml:space="preserve">doctorale, conform unor </w:t>
            </w:r>
            <w:r w:rsidR="00A102E5">
              <w:rPr>
                <w:rFonts w:ascii="Arial Narrow" w:hAnsi="Arial Narrow"/>
                <w:sz w:val="22"/>
                <w:szCs w:val="24"/>
              </w:rPr>
              <w:t>reguli de ordine interioară</w:t>
            </w:r>
            <w:r w:rsidR="00081F88" w:rsidRPr="002C44A0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8" w:space="0" w:color="17365D"/>
              <w:right w:val="single" w:sz="6" w:space="0" w:color="17365D"/>
            </w:tcBorders>
            <w:shd w:val="clear" w:color="auto" w:fill="FFFFFF" w:themeFill="background1"/>
          </w:tcPr>
          <w:p w:rsidR="00081F88" w:rsidRPr="00511B2C" w:rsidRDefault="00081F88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41A09" w:rsidRPr="0084085F" w:rsidTr="00914C9B">
        <w:tc>
          <w:tcPr>
            <w:tcW w:w="15490" w:type="dxa"/>
            <w:gridSpan w:val="4"/>
            <w:tcBorders>
              <w:top w:val="single" w:sz="8" w:space="0" w:color="17365D"/>
              <w:left w:val="single" w:sz="6" w:space="0" w:color="17365D"/>
              <w:bottom w:val="nil"/>
              <w:right w:val="single" w:sz="6" w:space="0" w:color="17365D"/>
            </w:tcBorders>
            <w:shd w:val="clear" w:color="auto" w:fill="EAEAEA"/>
          </w:tcPr>
          <w:p w:rsidR="00241A09" w:rsidRPr="00EC54DC" w:rsidRDefault="00081F88" w:rsidP="00F775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>.3. Gradul de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>interna</w:t>
            </w:r>
            <w:r w:rsidR="00F77517">
              <w:rPr>
                <w:rFonts w:ascii="Arial Narrow" w:hAnsi="Arial Narrow"/>
                <w:b/>
                <w:sz w:val="22"/>
                <w:szCs w:val="22"/>
              </w:rPr>
              <w:t>ț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>ionalizare</w:t>
            </w:r>
          </w:p>
        </w:tc>
      </w:tr>
      <w:tr w:rsidR="00A102E5" w:rsidRPr="0084085F" w:rsidTr="00914C9B">
        <w:tc>
          <w:tcPr>
            <w:tcW w:w="2591" w:type="dxa"/>
            <w:vMerge w:val="restart"/>
            <w:tcBorders>
              <w:top w:val="single" w:sz="7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2C44A0" w:rsidRDefault="0098361E" w:rsidP="0098361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98361E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.3.1. IOSUD/</w:t>
            </w:r>
            <w:r w:rsidRPr="0098361E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coala</w:t>
            </w:r>
            <w:r w:rsidRPr="0098361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doctoral</w:t>
            </w:r>
            <w:r w:rsidRPr="0098361E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 xml:space="preserve"> are o strategie</w:t>
            </w:r>
            <w:r w:rsidRPr="0098361E">
              <w:rPr>
                <w:rFonts w:ascii="Arial Narrow" w:hAnsi="Arial Narrow"/>
                <w:sz w:val="22"/>
                <w:szCs w:val="24"/>
              </w:rPr>
              <w:t xml:space="preserve"> ș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i o aplic</w:t>
            </w:r>
            <w:r w:rsidRPr="0098361E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 xml:space="preserve"> pentru</w:t>
            </w:r>
            <w:r w:rsidRPr="0098361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cre</w:t>
            </w:r>
            <w:r w:rsidRPr="0098361E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terea gradului de</w:t>
            </w:r>
            <w:r w:rsidRPr="0098361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interna</w:t>
            </w:r>
            <w:r w:rsidRPr="0098361E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ionalizare a</w:t>
            </w:r>
            <w:r w:rsidRPr="0098361E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98361E">
              <w:rPr>
                <w:rFonts w:ascii="Arial Narrow" w:hAnsi="Arial Narrow"/>
                <w:sz w:val="22"/>
                <w:szCs w:val="24"/>
              </w:rPr>
              <w:t>studiilor doctorale.</w:t>
            </w: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AF0480" w:rsidRDefault="00DE182A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.3.1.1.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, prin intermediul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IOSUD, are încheiate acorduri de mobilitate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cu universit</w:t>
            </w:r>
            <w:r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din str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inatate, cu institute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de cercetare, cu companii care desf</w:t>
            </w:r>
            <w:r w:rsidRPr="00AF0480">
              <w:rPr>
                <w:rFonts w:ascii="Arial Narrow" w:hAnsi="Arial Narrow"/>
                <w:sz w:val="22"/>
                <w:szCs w:val="24"/>
              </w:rPr>
              <w:t>ăș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oar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activit</w:t>
            </w:r>
            <w:r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în domeniul studiat, care vizeaz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mobilitatea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ilor doctoranzi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cadrelor didactice (de exemplu, acorduri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ERASMUS pentru ciclul de studii doctorale).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el pu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 35% dintre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 doctoranzi au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efectuat un stagiu de preg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tire în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str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tate sau o alt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form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de mobilitate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precum participarea la conferin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ifice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nterna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EC54DC" w:rsidRDefault="00A102E5" w:rsidP="00081F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02E5" w:rsidRPr="0084085F" w:rsidTr="00914C9B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2C44A0" w:rsidRDefault="00A102E5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AF0480" w:rsidRDefault="00DE182A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.3.1.2.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sprijin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, </w:t>
            </w:r>
            <w:r w:rsidRPr="00AF0480">
              <w:rPr>
                <w:rFonts w:ascii="Arial Narrow" w:hAnsi="Arial Narrow"/>
                <w:sz w:val="22"/>
                <w:szCs w:val="24"/>
              </w:rPr>
              <w:t>inclusiv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financiar, organizarea unor doctorate în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cotutel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interna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, respectiv invitarea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unor exper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recunoscu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care s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sus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cursuri/prelegeri pentru 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doctoranzi.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3B23F0" w:rsidRDefault="00A102E5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A102E5" w:rsidRPr="0084085F" w:rsidTr="0098361E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2C44A0" w:rsidRDefault="00A102E5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AF0480" w:rsidRDefault="00DE182A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.3.1.3. Cel pu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 10% din tezele 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doctorat din cadrul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colii doctorale sunt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redactate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i/sau prezentate într-o limb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circula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ie interna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sau sunt realizate în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cotutel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3B23F0" w:rsidRDefault="00A102E5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A102E5" w:rsidRPr="0084085F" w:rsidTr="00A102E5">
        <w:tc>
          <w:tcPr>
            <w:tcW w:w="2591" w:type="dxa"/>
            <w:vMerge/>
            <w:tcBorders>
              <w:left w:val="single" w:sz="6" w:space="0" w:color="17365D"/>
              <w:bottom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2C44A0" w:rsidRDefault="00A102E5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Default="00DE182A" w:rsidP="00DE18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.3.1.4. Interna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ionalizarea activit</w:t>
            </w:r>
            <w:r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ilor din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cadrul studiilor doctorale este sus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inut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tre IOSUD prin m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suri concrete (de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exemplu, participarea la târguri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educa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ionale pentru atragerea de 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>studen</w:t>
            </w:r>
            <w:r w:rsidRPr="00AF0480">
              <w:rPr>
                <w:rFonts w:ascii="Arial Narrow" w:hAnsi="Arial Narrow"/>
                <w:sz w:val="22"/>
                <w:szCs w:val="24"/>
              </w:rPr>
              <w:t>ți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doctoranzi interna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ionali; includerea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exper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ilor interna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ionali în comisii 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îndrumare sau de sus</w:t>
            </w:r>
            <w:r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inere a tezelor 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doctorat etc.).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 w:themeFill="background1"/>
          </w:tcPr>
          <w:p w:rsidR="00A102E5" w:rsidRPr="003B23F0" w:rsidRDefault="00A102E5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7189D" w:rsidRPr="0084085F" w:rsidTr="00A102E5">
        <w:tc>
          <w:tcPr>
            <w:tcW w:w="15490" w:type="dxa"/>
            <w:gridSpan w:val="4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EAEAEA"/>
          </w:tcPr>
          <w:p w:rsidR="0027189D" w:rsidRPr="003B23F0" w:rsidRDefault="0027189D" w:rsidP="0027189D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081F88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Sistemul de asigurare a respectării normelor de etică și integritate academică</w:t>
            </w:r>
          </w:p>
        </w:tc>
      </w:tr>
      <w:tr w:rsidR="0027189D" w:rsidRPr="0084085F" w:rsidTr="0098361E">
        <w:tc>
          <w:tcPr>
            <w:tcW w:w="2591" w:type="dxa"/>
            <w:vMerge w:val="restart"/>
            <w:tcBorders>
              <w:top w:val="single" w:sz="6" w:space="0" w:color="17365D"/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2C44A0" w:rsidRDefault="0098361E" w:rsidP="0098361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587685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.4.1. IOSUD/</w:t>
            </w:r>
            <w:r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coala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doctoral</w:t>
            </w:r>
            <w:r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 xml:space="preserve"> are un 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sistem 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func</w:t>
            </w:r>
            <w:r w:rsidRPr="00587685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 xml:space="preserve">ional </w:t>
            </w:r>
            <w:r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i eficient de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 xml:space="preserve">prevenire </w:t>
            </w:r>
            <w:r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i asigurare a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respect</w:t>
            </w:r>
            <w:r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rii normelor de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etic</w:t>
            </w:r>
            <w:r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587685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i integritate</w:t>
            </w:r>
            <w:r w:rsidRPr="00587685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academic</w:t>
            </w:r>
            <w:r w:rsidRPr="00587685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587685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AF0480" w:rsidRDefault="00DE182A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.4.1.1. IOSUD/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coala doctoral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pune în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aplicare prevederile unui cod de etic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deontologie/integritate academic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, prin care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ap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</w:t>
            </w:r>
            <w:r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valorile libert</w:t>
            </w:r>
            <w:r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ii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integrit</w:t>
            </w:r>
            <w:r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academice, ale autonomiei universitare </w:t>
            </w:r>
            <w:r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dispune de:</w:t>
            </w:r>
          </w:p>
          <w:p w:rsidR="00A102E5" w:rsidRPr="00AF0480" w:rsidRDefault="00A102E5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 xml:space="preserve">- practici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mecanisme pentru prevenirea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fraudelor atât din perspectiva institu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ional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,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cât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din perspectiva studen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ilor doctoranzi;</w:t>
            </w:r>
          </w:p>
          <w:p w:rsidR="00A102E5" w:rsidRPr="00AF0480" w:rsidRDefault="00A102E5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- practici pentru prevenirea eventualelor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fraude în activit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ile sale academice, 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cercetare sau de orice alt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natur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,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inclusiv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suri active de prevenire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eliminare 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oric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ror forme de plagiat, precum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promovare a principiilor de etic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integritate sau de respectare a propriet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intelectuale, a dreptului de autor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drepturilor conexe în rândul tuturor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membrilor comunit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ii sale academice;</w:t>
            </w:r>
          </w:p>
          <w:p w:rsidR="00946F4C" w:rsidRDefault="00A102E5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- introducerea unor instrumente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administrative care s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asigure aplicarea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unor sanc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iuni efective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eliminatorii;</w:t>
            </w:r>
          </w:p>
          <w:p w:rsidR="00A102E5" w:rsidRPr="00AF0480" w:rsidRDefault="00946F4C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- </w:t>
            </w:r>
            <w:proofErr w:type="gramStart"/>
            <w:r w:rsidR="00A102E5" w:rsidRPr="00AF0480">
              <w:rPr>
                <w:rFonts w:ascii="Arial Narrow" w:hAnsi="Arial Narrow"/>
                <w:sz w:val="22"/>
                <w:szCs w:val="24"/>
              </w:rPr>
              <w:t>mecanisme</w:t>
            </w:r>
            <w:proofErr w:type="gramEnd"/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m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suri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pentru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>a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sigurarea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egalit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anse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protejarea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împotriva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intoleran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discrimin</w:t>
            </w:r>
            <w:r w:rsidR="00DE182A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orice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fel.</w:t>
            </w:r>
          </w:p>
          <w:p w:rsidR="0027189D" w:rsidRDefault="00A102E5" w:rsidP="00AF048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IOSUD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monitorizeaz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evalueaz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permanent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aceste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practic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poate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face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dovada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aplic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lor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pentru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toate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activit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ăț</w:t>
            </w:r>
            <w:r w:rsidRPr="00AF0480">
              <w:rPr>
                <w:rFonts w:ascii="Arial Narrow" w:hAnsi="Arial Narrow"/>
                <w:sz w:val="22"/>
                <w:szCs w:val="24"/>
              </w:rPr>
              <w:t>ile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desf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ăș</w:t>
            </w:r>
            <w:r w:rsidRPr="00AF0480">
              <w:rPr>
                <w:rFonts w:ascii="Arial Narrow" w:hAnsi="Arial Narrow"/>
                <w:sz w:val="22"/>
                <w:szCs w:val="24"/>
              </w:rPr>
              <w:t>urate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implic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studen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ilor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în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toate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aceste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procese,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iar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rezultatele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monitoriz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sunt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f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cute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publice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an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ual </w:t>
            </w:r>
            <w:r w:rsidRPr="00AF0480">
              <w:rPr>
                <w:rFonts w:ascii="Arial Narrow" w:hAnsi="Arial Narrow"/>
                <w:sz w:val="22"/>
                <w:szCs w:val="24"/>
              </w:rPr>
              <w:t>sau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ori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câte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ori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este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necesar.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IOSUD/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coala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doctoral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are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o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politic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bazat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prevenți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e </w:t>
            </w:r>
            <w:r w:rsidRPr="00AF0480">
              <w:rPr>
                <w:rFonts w:ascii="Arial Narrow" w:hAnsi="Arial Narrow"/>
                <w:sz w:val="22"/>
                <w:szCs w:val="24"/>
              </w:rPr>
              <w:t>cu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privire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la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eventuala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înc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lcare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codului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etic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integritate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academic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,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demonstrând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prin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pozi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ion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publice,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studii,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analize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sau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m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suri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acest</w:t>
            </w:r>
            <w:r w:rsidR="0098361E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fapt.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3B23F0" w:rsidRDefault="0027189D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7189D" w:rsidRPr="0084085F" w:rsidTr="0098361E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2C44A0" w:rsidRDefault="0027189D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AF0480" w:rsidRDefault="00DE182A" w:rsidP="00AF048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.4.1.2. Toate sesiz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rile cu privire la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suspiciunile de plagiat aferente unor teze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doctorat au fost analizate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solu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ionate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IOSUD în termenul legal prev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zut pentru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exprimarea punctului de vedere scris fa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de sesizarea primit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3B23F0" w:rsidRDefault="0027189D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7189D" w:rsidRPr="0084085F" w:rsidTr="0098361E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2C44A0" w:rsidRDefault="0027189D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AF0480" w:rsidRDefault="00DE182A" w:rsidP="00AF048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.4.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1.3. În rapoartele anuale ale 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omisiei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de etic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din cadrul IOSUD se reg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sesc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informa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ii privind stadiul solu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rii fiec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rui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caz în care a existat o sesizare sau o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autosesizare relevant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pentru studiile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doctorale cu privire la înc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lcarea unor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norme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aspecte etice, iar din descrierea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acestora nu rezult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întârzieri fa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termenul legal de rezolvare precizat pentru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astfel de cazuri prin reglement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ri na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sau institu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ionale.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3B23F0" w:rsidRDefault="0027189D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7189D" w:rsidRPr="0084085F" w:rsidTr="0098361E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2C44A0" w:rsidRDefault="0027189D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A102E5" w:rsidRPr="00AF0480" w:rsidRDefault="00DE182A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.4.1.4. M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surile întreprinse de IOSUD în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rma deciziilor definitive ale CNATDC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U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retragere a titlului de doctor în urma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sesiz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rilor de plagiat au vizat cel pu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 una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dintre urm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toarele ac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iuni:</w:t>
            </w:r>
          </w:p>
          <w:p w:rsidR="00A102E5" w:rsidRPr="00AF0480" w:rsidRDefault="00A102E5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lastRenderedPageBreak/>
              <w:t>a) suspendarea dreptului de a admite noi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doctoranzi pentru o perioad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 3 ani 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conduc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torului de doctorat care a coordona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t o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tez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 doctorat cu decizie definitiv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retragere a titlului de doctor pentru plagiat;</w:t>
            </w:r>
          </w:p>
          <w:p w:rsidR="00A102E5" w:rsidRPr="00AF0480" w:rsidRDefault="00A102E5" w:rsidP="00A102E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b) excluderea din IOSUD a conduc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torului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 doctorat care a coordonat dou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sau mai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multe teze de doctorat cu decizie 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>definitiv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de retragere a titlului de doctor pentru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plagiat;</w:t>
            </w:r>
          </w:p>
          <w:p w:rsidR="0027189D" w:rsidRPr="00AF0480" w:rsidRDefault="00A102E5" w:rsidP="00946F4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c) suspendarea organiz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>rii procesului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admitere pentru domeniul de doctorat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respectiv, pentru o perioad</w:t>
            </w:r>
            <w:r w:rsidR="00946F4C">
              <w:rPr>
                <w:rFonts w:ascii="Arial Narrow" w:hAnsi="Arial Narrow"/>
                <w:sz w:val="22"/>
                <w:szCs w:val="24"/>
              </w:rPr>
              <w:t>ă</w:t>
            </w:r>
            <w:bookmarkStart w:id="0" w:name="_GoBack"/>
            <w:bookmarkEnd w:id="0"/>
            <w:r w:rsidRPr="00AF0480">
              <w:rPr>
                <w:rFonts w:ascii="Arial Narrow" w:hAnsi="Arial Narrow"/>
                <w:sz w:val="22"/>
                <w:szCs w:val="24"/>
              </w:rPr>
              <w:t xml:space="preserve"> de 2 ani, în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cazul în care în domeniul de doctorat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respectiv a fost coordonat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o tez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doctorat cu decizie definitiv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 retragere a</w:t>
            </w:r>
            <w:r w:rsidR="004C725D" w:rsidRPr="00AF048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AF0480">
              <w:rPr>
                <w:rFonts w:ascii="Arial Narrow" w:hAnsi="Arial Narrow"/>
                <w:sz w:val="22"/>
                <w:szCs w:val="24"/>
              </w:rPr>
              <w:t>titlului de doctor pentru plagiat.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3B23F0" w:rsidRDefault="0027189D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7189D" w:rsidRPr="0084085F" w:rsidTr="0098361E">
        <w:tc>
          <w:tcPr>
            <w:tcW w:w="2591" w:type="dxa"/>
            <w:vMerge/>
            <w:tcBorders>
              <w:left w:val="single" w:sz="6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2C44A0" w:rsidRDefault="0027189D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AF0480" w:rsidRDefault="00DE182A" w:rsidP="00AF048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.4.1.5. Referen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ii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tiin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ifici care au f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cut parte din comisiile de sus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inere public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a dou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sau mai multe teze de doctorat cu decizie definitiv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de retragere a titlului de doctor pentru plagiat nu au mai fost numi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 în comisii de sus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inere public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a tezelor de doctorat pentru o perioad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 xml:space="preserve"> de cel pu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="00A102E5" w:rsidRPr="00AF0480">
              <w:rPr>
                <w:rFonts w:ascii="Arial Narrow" w:hAnsi="Arial Narrow"/>
                <w:sz w:val="22"/>
                <w:szCs w:val="24"/>
              </w:rPr>
              <w:t>in 3 ani.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3B23F0" w:rsidRDefault="0027189D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  <w:tr w:rsidR="0027189D" w:rsidRPr="0084085F" w:rsidTr="0098361E">
        <w:tc>
          <w:tcPr>
            <w:tcW w:w="2591" w:type="dxa"/>
            <w:vMerge/>
            <w:tcBorders>
              <w:left w:val="single" w:sz="6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Pr="002C44A0" w:rsidRDefault="0027189D" w:rsidP="002C44A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8" w:space="0" w:color="17365D"/>
            </w:tcBorders>
            <w:shd w:val="clear" w:color="auto" w:fill="FFFFFF" w:themeFill="background1"/>
          </w:tcPr>
          <w:p w:rsidR="0027189D" w:rsidRDefault="00A102E5" w:rsidP="00AF048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4"/>
              </w:rPr>
            </w:pPr>
            <w:r w:rsidRPr="00AF0480">
              <w:rPr>
                <w:rFonts w:ascii="Arial Narrow" w:hAnsi="Arial Narrow"/>
                <w:sz w:val="22"/>
                <w:szCs w:val="24"/>
              </w:rPr>
              <w:t>C.4.1.6. IOSUD de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ine o baz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de date public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în care sunt indexate toate tezele de doctorat sus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inute în institu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ie începând cel pu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 cu anul 2016 într-un format care con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ț</w:t>
            </w:r>
            <w:r w:rsidRPr="00AF0480">
              <w:rPr>
                <w:rFonts w:ascii="Arial Narrow" w:hAnsi="Arial Narrow"/>
                <w:sz w:val="22"/>
                <w:szCs w:val="24"/>
              </w:rPr>
              <w:t>ine: domeniul, autorul, conduc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torul de doctorat, titlul tezei 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ș</w:t>
            </w:r>
            <w:r w:rsidRPr="00AF0480">
              <w:rPr>
                <w:rFonts w:ascii="Arial Narrow" w:hAnsi="Arial Narrow"/>
                <w:sz w:val="22"/>
                <w:szCs w:val="24"/>
              </w:rPr>
              <w:t>i teza de doctorat în format electronic (dac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exist</w:t>
            </w:r>
            <w:r w:rsidR="00AF0480" w:rsidRPr="00AF0480">
              <w:rPr>
                <w:rFonts w:ascii="Arial Narrow" w:hAnsi="Arial Narrow"/>
                <w:sz w:val="22"/>
                <w:szCs w:val="24"/>
              </w:rPr>
              <w:t>ă</w:t>
            </w:r>
            <w:r w:rsidRPr="00AF0480">
              <w:rPr>
                <w:rFonts w:ascii="Arial Narrow" w:hAnsi="Arial Narrow"/>
                <w:sz w:val="22"/>
                <w:szCs w:val="24"/>
              </w:rPr>
              <w:t xml:space="preserve"> acordul autorului).</w:t>
            </w:r>
          </w:p>
        </w:tc>
        <w:tc>
          <w:tcPr>
            <w:tcW w:w="2977" w:type="dxa"/>
            <w:gridSpan w:val="2"/>
            <w:tcBorders>
              <w:top w:val="single" w:sz="7" w:space="0" w:color="17365D"/>
              <w:left w:val="single" w:sz="8" w:space="0" w:color="17365D"/>
              <w:bottom w:val="single" w:sz="7" w:space="0" w:color="17365D"/>
              <w:right w:val="single" w:sz="6" w:space="0" w:color="17365D"/>
            </w:tcBorders>
            <w:shd w:val="clear" w:color="auto" w:fill="FFFFFF" w:themeFill="background1"/>
          </w:tcPr>
          <w:p w:rsidR="0027189D" w:rsidRPr="003B23F0" w:rsidRDefault="0027189D" w:rsidP="00081F88">
            <w:pPr>
              <w:jc w:val="both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</w:tr>
    </w:tbl>
    <w:p w:rsidR="00513EE1" w:rsidRPr="0089370B" w:rsidRDefault="00513EE1">
      <w:pPr>
        <w:spacing w:before="8" w:line="240" w:lineRule="exact"/>
        <w:rPr>
          <w:sz w:val="24"/>
          <w:szCs w:val="24"/>
          <w:lang w:val="fr-FR"/>
        </w:rPr>
      </w:pPr>
    </w:p>
    <w:p w:rsidR="00513EE1" w:rsidRPr="0089370B" w:rsidRDefault="00513EE1">
      <w:pPr>
        <w:spacing w:line="200" w:lineRule="exact"/>
        <w:rPr>
          <w:lang w:val="fr-FR"/>
        </w:rPr>
      </w:pPr>
    </w:p>
    <w:p w:rsidR="00513EE1" w:rsidRPr="00FA516A" w:rsidRDefault="00513EE1">
      <w:pPr>
        <w:spacing w:line="200" w:lineRule="exact"/>
        <w:rPr>
          <w:sz w:val="24"/>
          <w:lang w:val="fr-FR"/>
        </w:rPr>
      </w:pPr>
    </w:p>
    <w:p w:rsidR="00513EE1" w:rsidRPr="00FA516A" w:rsidRDefault="00513EE1">
      <w:pPr>
        <w:spacing w:line="200" w:lineRule="exact"/>
        <w:rPr>
          <w:sz w:val="24"/>
          <w:lang w:val="fr-FR"/>
        </w:rPr>
      </w:pPr>
    </w:p>
    <w:p w:rsidR="00FA516A" w:rsidRPr="00FA516A" w:rsidRDefault="00FA516A" w:rsidP="00FA516A">
      <w:pPr>
        <w:rPr>
          <w:rFonts w:ascii="Calibri" w:hAnsi="Calibri"/>
          <w:sz w:val="24"/>
          <w:szCs w:val="22"/>
          <w:lang w:val="ro-RO"/>
        </w:rPr>
      </w:pPr>
      <w:r w:rsidRPr="00FA516A">
        <w:rPr>
          <w:rFonts w:ascii="Calibri" w:hAnsi="Calibri"/>
          <w:sz w:val="24"/>
          <w:szCs w:val="22"/>
          <w:lang w:val="ro-RO"/>
        </w:rPr>
        <w:t>Recomandarea comisiei de verificare:</w:t>
      </w:r>
    </w:p>
    <w:p w:rsidR="00FA516A" w:rsidRPr="00FA516A" w:rsidRDefault="00FA516A" w:rsidP="00FA516A">
      <w:pPr>
        <w:rPr>
          <w:rFonts w:ascii="Calibri" w:hAnsi="Calibri"/>
          <w:sz w:val="24"/>
          <w:szCs w:val="22"/>
          <w:lang w:val="ro-RO"/>
        </w:rPr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98"/>
      </w:tblGrid>
      <w:tr w:rsidR="00FA516A" w:rsidRPr="00FA516A" w:rsidTr="00FA51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A" w:rsidRPr="00FA516A" w:rsidRDefault="00FA516A">
            <w:pPr>
              <w:widowControl w:val="0"/>
              <w:adjustRightInd w:val="0"/>
              <w:ind w:left="357" w:hanging="357"/>
              <w:rPr>
                <w:rFonts w:ascii="Calibri" w:hAnsi="Calibri"/>
                <w:sz w:val="24"/>
                <w:szCs w:val="22"/>
                <w:lang w:val="ro-RO"/>
              </w:rPr>
            </w:pPr>
            <w:r w:rsidRPr="00FA516A">
              <w:rPr>
                <w:rFonts w:ascii="Calibri" w:hAnsi="Calibri"/>
                <w:sz w:val="24"/>
                <w:szCs w:val="22"/>
                <w:lang w:val="ro-RO"/>
              </w:rPr>
              <w:t>Bun pentru evaluare externă ARACIS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A" w:rsidRPr="00FA516A" w:rsidRDefault="00FA516A">
            <w:pPr>
              <w:widowControl w:val="0"/>
              <w:adjustRightInd w:val="0"/>
              <w:ind w:left="357" w:hanging="357"/>
              <w:jc w:val="both"/>
              <w:rPr>
                <w:rFonts w:ascii="Calibri" w:hAnsi="Calibri"/>
                <w:sz w:val="24"/>
                <w:szCs w:val="22"/>
                <w:lang w:val="ro-RO"/>
              </w:rPr>
            </w:pPr>
            <w:r w:rsidRPr="00FA516A">
              <w:rPr>
                <w:rFonts w:ascii="Calibri" w:hAnsi="Calibri"/>
                <w:sz w:val="24"/>
                <w:szCs w:val="22"/>
                <w:lang w:val="ro-RO"/>
              </w:rPr>
              <w:t>Da</w:t>
            </w:r>
          </w:p>
        </w:tc>
      </w:tr>
      <w:tr w:rsidR="00FA516A" w:rsidRPr="00FA516A" w:rsidTr="00FA51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6A" w:rsidRPr="00FA516A" w:rsidRDefault="00FA516A">
            <w:pPr>
              <w:rPr>
                <w:rFonts w:ascii="Calibri" w:hAnsi="Calibri"/>
                <w:sz w:val="24"/>
                <w:szCs w:val="22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A" w:rsidRPr="000951F9" w:rsidRDefault="00FA516A">
            <w:pPr>
              <w:widowControl w:val="0"/>
              <w:adjustRightInd w:val="0"/>
              <w:ind w:left="357" w:hanging="357"/>
              <w:jc w:val="both"/>
              <w:rPr>
                <w:rFonts w:ascii="Calibri" w:hAnsi="Calibri"/>
                <w:sz w:val="24"/>
                <w:szCs w:val="22"/>
                <w:lang w:val="ro-RO"/>
              </w:rPr>
            </w:pPr>
            <w:r w:rsidRPr="000951F9">
              <w:rPr>
                <w:rFonts w:ascii="Calibri" w:hAnsi="Calibri"/>
                <w:sz w:val="24"/>
                <w:szCs w:val="22"/>
                <w:lang w:val="ro-RO"/>
              </w:rPr>
              <w:t>Nu</w:t>
            </w:r>
          </w:p>
        </w:tc>
      </w:tr>
    </w:tbl>
    <w:p w:rsidR="00513EE1" w:rsidRDefault="00513EE1" w:rsidP="00F37F12">
      <w:pPr>
        <w:spacing w:before="1" w:line="220" w:lineRule="exact"/>
        <w:jc w:val="both"/>
        <w:rPr>
          <w:sz w:val="22"/>
          <w:szCs w:val="22"/>
        </w:rPr>
      </w:pPr>
    </w:p>
    <w:p w:rsidR="004873C4" w:rsidRPr="008F2E73" w:rsidRDefault="004873C4" w:rsidP="004873C4">
      <w:pPr>
        <w:ind w:left="5760" w:firstLine="4446"/>
        <w:jc w:val="both"/>
        <w:rPr>
          <w:rFonts w:asciiTheme="minorHAnsi" w:hAnsiTheme="minorHAnsi"/>
          <w:sz w:val="24"/>
          <w:szCs w:val="24"/>
          <w:lang w:val="ro-RO"/>
        </w:rPr>
      </w:pPr>
      <w:r w:rsidRPr="008F2E73">
        <w:rPr>
          <w:rFonts w:asciiTheme="minorHAnsi" w:hAnsiTheme="minorHAnsi"/>
          <w:szCs w:val="22"/>
        </w:rPr>
        <w:tab/>
      </w:r>
      <w:r w:rsidRPr="008F2E73">
        <w:rPr>
          <w:rFonts w:asciiTheme="minorHAnsi" w:hAnsiTheme="minorHAnsi"/>
          <w:sz w:val="24"/>
          <w:szCs w:val="24"/>
          <w:lang w:val="ro-RO"/>
        </w:rPr>
        <w:t xml:space="preserve">1. </w:t>
      </w:r>
    </w:p>
    <w:p w:rsidR="004873C4" w:rsidRPr="008F2E73" w:rsidRDefault="004873C4" w:rsidP="004873C4">
      <w:pPr>
        <w:ind w:left="6495" w:firstLine="4305"/>
        <w:jc w:val="both"/>
        <w:rPr>
          <w:rFonts w:asciiTheme="minorHAnsi" w:hAnsiTheme="minorHAnsi"/>
          <w:sz w:val="24"/>
          <w:szCs w:val="24"/>
          <w:lang w:val="ro-RO"/>
        </w:rPr>
      </w:pPr>
      <w:r w:rsidRPr="008F2E73">
        <w:rPr>
          <w:rFonts w:asciiTheme="minorHAnsi" w:hAnsiTheme="minorHAnsi"/>
          <w:sz w:val="24"/>
          <w:szCs w:val="24"/>
          <w:lang w:val="ro-RO"/>
        </w:rPr>
        <w:t xml:space="preserve">2. </w:t>
      </w:r>
    </w:p>
    <w:p w:rsidR="00F37F12" w:rsidRDefault="00F37F12" w:rsidP="00F37F12">
      <w:pPr>
        <w:spacing w:before="1" w:line="220" w:lineRule="exact"/>
        <w:jc w:val="both"/>
        <w:rPr>
          <w:sz w:val="22"/>
          <w:szCs w:val="22"/>
        </w:rPr>
      </w:pPr>
    </w:p>
    <w:sectPr w:rsidR="00F37F12" w:rsidSect="00E124D9">
      <w:pgSz w:w="16860" w:h="11920" w:orient="landscape"/>
      <w:pgMar w:top="482" w:right="482" w:bottom="482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4D3"/>
    <w:multiLevelType w:val="hybridMultilevel"/>
    <w:tmpl w:val="FDDEF610"/>
    <w:lvl w:ilvl="0" w:tplc="0CD83470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>
    <w:nsid w:val="3C863377"/>
    <w:multiLevelType w:val="hybridMultilevel"/>
    <w:tmpl w:val="591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BFC"/>
    <w:multiLevelType w:val="multilevel"/>
    <w:tmpl w:val="2A0A3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442946"/>
    <w:multiLevelType w:val="hybridMultilevel"/>
    <w:tmpl w:val="A8DC6AA6"/>
    <w:lvl w:ilvl="0" w:tplc="A8CAC74E">
      <w:start w:val="1"/>
      <w:numFmt w:val="decimal"/>
      <w:lvlText w:val="%1."/>
      <w:lvlJc w:val="left"/>
      <w:pPr>
        <w:ind w:left="4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1"/>
    <w:rsid w:val="000222A5"/>
    <w:rsid w:val="00047DCA"/>
    <w:rsid w:val="00081F88"/>
    <w:rsid w:val="000951F9"/>
    <w:rsid w:val="000A7EE2"/>
    <w:rsid w:val="000B3730"/>
    <w:rsid w:val="000F4978"/>
    <w:rsid w:val="00103B09"/>
    <w:rsid w:val="00127B3F"/>
    <w:rsid w:val="0013144F"/>
    <w:rsid w:val="00136401"/>
    <w:rsid w:val="00172735"/>
    <w:rsid w:val="00182BB1"/>
    <w:rsid w:val="00195F11"/>
    <w:rsid w:val="001F4831"/>
    <w:rsid w:val="0024122E"/>
    <w:rsid w:val="00241A09"/>
    <w:rsid w:val="0027189D"/>
    <w:rsid w:val="002A6C7F"/>
    <w:rsid w:val="002C2680"/>
    <w:rsid w:val="002C294D"/>
    <w:rsid w:val="002C44A0"/>
    <w:rsid w:val="002C621E"/>
    <w:rsid w:val="003324E2"/>
    <w:rsid w:val="0033289C"/>
    <w:rsid w:val="0033529C"/>
    <w:rsid w:val="00367706"/>
    <w:rsid w:val="003B1831"/>
    <w:rsid w:val="003D1965"/>
    <w:rsid w:val="0040621B"/>
    <w:rsid w:val="00406601"/>
    <w:rsid w:val="0041448A"/>
    <w:rsid w:val="00454591"/>
    <w:rsid w:val="004873C4"/>
    <w:rsid w:val="004C725D"/>
    <w:rsid w:val="004F4F94"/>
    <w:rsid w:val="004F5CFC"/>
    <w:rsid w:val="004F7473"/>
    <w:rsid w:val="00501D91"/>
    <w:rsid w:val="00513EE1"/>
    <w:rsid w:val="005344B8"/>
    <w:rsid w:val="00552EF1"/>
    <w:rsid w:val="00581017"/>
    <w:rsid w:val="00587685"/>
    <w:rsid w:val="005B4DAB"/>
    <w:rsid w:val="005C4B3E"/>
    <w:rsid w:val="005F1BE8"/>
    <w:rsid w:val="005F4F86"/>
    <w:rsid w:val="00647867"/>
    <w:rsid w:val="00656DE2"/>
    <w:rsid w:val="0066476C"/>
    <w:rsid w:val="006978A8"/>
    <w:rsid w:val="006D3BB6"/>
    <w:rsid w:val="006E6B59"/>
    <w:rsid w:val="006E6B78"/>
    <w:rsid w:val="006F3F04"/>
    <w:rsid w:val="006F5D60"/>
    <w:rsid w:val="00751B84"/>
    <w:rsid w:val="00791999"/>
    <w:rsid w:val="007A64D3"/>
    <w:rsid w:val="007E3E46"/>
    <w:rsid w:val="008209A7"/>
    <w:rsid w:val="0089370B"/>
    <w:rsid w:val="00893F9E"/>
    <w:rsid w:val="008A6EE2"/>
    <w:rsid w:val="008E57D3"/>
    <w:rsid w:val="00914C9B"/>
    <w:rsid w:val="00941B88"/>
    <w:rsid w:val="00946F4C"/>
    <w:rsid w:val="0095024A"/>
    <w:rsid w:val="009651D2"/>
    <w:rsid w:val="0098361E"/>
    <w:rsid w:val="009931EB"/>
    <w:rsid w:val="009A4FF6"/>
    <w:rsid w:val="009C20D4"/>
    <w:rsid w:val="009E421F"/>
    <w:rsid w:val="00A0332B"/>
    <w:rsid w:val="00A06DC7"/>
    <w:rsid w:val="00A102E5"/>
    <w:rsid w:val="00A311E2"/>
    <w:rsid w:val="00A4187E"/>
    <w:rsid w:val="00A51ED4"/>
    <w:rsid w:val="00A55818"/>
    <w:rsid w:val="00A76325"/>
    <w:rsid w:val="00A8267A"/>
    <w:rsid w:val="00AB5B85"/>
    <w:rsid w:val="00AC1A5D"/>
    <w:rsid w:val="00AD10D7"/>
    <w:rsid w:val="00AE3198"/>
    <w:rsid w:val="00AF0480"/>
    <w:rsid w:val="00AF1EE8"/>
    <w:rsid w:val="00B26AC6"/>
    <w:rsid w:val="00B63185"/>
    <w:rsid w:val="00B73C78"/>
    <w:rsid w:val="00B82133"/>
    <w:rsid w:val="00BD55CF"/>
    <w:rsid w:val="00BD6C0D"/>
    <w:rsid w:val="00BE3C9A"/>
    <w:rsid w:val="00BE468B"/>
    <w:rsid w:val="00C055DD"/>
    <w:rsid w:val="00C13AAA"/>
    <w:rsid w:val="00C56189"/>
    <w:rsid w:val="00C57982"/>
    <w:rsid w:val="00C922F0"/>
    <w:rsid w:val="00CA42C5"/>
    <w:rsid w:val="00CB025F"/>
    <w:rsid w:val="00CB1445"/>
    <w:rsid w:val="00CE2971"/>
    <w:rsid w:val="00D329FC"/>
    <w:rsid w:val="00D53857"/>
    <w:rsid w:val="00D70DFA"/>
    <w:rsid w:val="00D7557C"/>
    <w:rsid w:val="00D9398B"/>
    <w:rsid w:val="00DE182A"/>
    <w:rsid w:val="00E050D2"/>
    <w:rsid w:val="00E124D9"/>
    <w:rsid w:val="00E26F17"/>
    <w:rsid w:val="00E428CC"/>
    <w:rsid w:val="00E43369"/>
    <w:rsid w:val="00E4337B"/>
    <w:rsid w:val="00E61BB7"/>
    <w:rsid w:val="00EA00AB"/>
    <w:rsid w:val="00EA39F8"/>
    <w:rsid w:val="00EB32B9"/>
    <w:rsid w:val="00EC26E0"/>
    <w:rsid w:val="00EF26A0"/>
    <w:rsid w:val="00F2456C"/>
    <w:rsid w:val="00F24637"/>
    <w:rsid w:val="00F301DF"/>
    <w:rsid w:val="00F3112E"/>
    <w:rsid w:val="00F37F12"/>
    <w:rsid w:val="00F417F0"/>
    <w:rsid w:val="00F578E3"/>
    <w:rsid w:val="00F611DA"/>
    <w:rsid w:val="00F77517"/>
    <w:rsid w:val="00F91506"/>
    <w:rsid w:val="00F957B6"/>
    <w:rsid w:val="00FA516A"/>
    <w:rsid w:val="00FC6157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rsid w:val="00AD1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A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rsid w:val="00AD1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A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6FF3-A5C5-441D-A0B2-7F05EC06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Silvia</cp:lastModifiedBy>
  <cp:revision>6</cp:revision>
  <cp:lastPrinted>2015-02-13T10:46:00Z</cp:lastPrinted>
  <dcterms:created xsi:type="dcterms:W3CDTF">2020-05-09T21:06:00Z</dcterms:created>
  <dcterms:modified xsi:type="dcterms:W3CDTF">2020-05-10T09:52:00Z</dcterms:modified>
</cp:coreProperties>
</file>